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0.8.0 -->
  <w:body>
    <w:p>
      <w:pPr>
        <w:spacing w:line="640" w:lineRule="exact"/>
        <w:rPr>
          <w:rFonts w:ascii="方正楷体_GBK" w:eastAsia="方正楷体_GBK" w:hAnsi="Times New Roman" w:cs="Times New Roman"/>
          <w:bCs/>
          <w:sz w:val="44"/>
          <w:szCs w:val="44"/>
        </w:rPr>
      </w:pPr>
    </w:p>
    <w:p>
      <w:pPr>
        <w:spacing w:line="720" w:lineRule="exact"/>
        <w:jc w:val="center"/>
        <w:rPr>
          <w:rFonts w:ascii="Times New Roman" w:eastAsia="方正小标宋简体" w:hAnsi="Times New Roman" w:cs="Times New Roman"/>
          <w:sz w:val="44"/>
        </w:rPr>
      </w:pPr>
      <w:r>
        <w:rPr>
          <w:rFonts w:ascii="Times New Roman" w:eastAsia="方正小标宋简体" w:hAnsi="Times New Roman" w:cs="Times New Roman"/>
          <w:sz w:val="44"/>
        </w:rPr>
        <w:t>关于举办</w:t>
      </w:r>
      <w:r>
        <w:rPr>
          <w:rFonts w:ascii="方正小标宋简体" w:eastAsia="方正小标宋简体" w:hAnsi="方正小标宋简体" w:cs="方正小标宋简体" w:hint="eastAsia"/>
          <w:sz w:val="44"/>
          <w:szCs w:val="44"/>
        </w:rPr>
        <w:t>第十五届广东大学生科技学术季活动</w:t>
      </w:r>
      <w:r>
        <w:rPr>
          <w:rFonts w:ascii="Times New Roman" w:eastAsia="方正小标宋简体" w:hAnsi="Times New Roman" w:cs="Times New Roman"/>
          <w:bCs/>
          <w:sz w:val="44"/>
          <w:szCs w:val="44"/>
        </w:rPr>
        <w:t>之</w:t>
      </w:r>
      <w:r>
        <w:rPr>
          <w:rFonts w:ascii="Times New Roman" w:eastAsia="方正小标宋简体" w:hAnsi="Times New Roman" w:cs="Times New Roman" w:hint="eastAsia"/>
          <w:sz w:val="44"/>
        </w:rPr>
        <w:t>广东大学生数字艺术设计大赛</w:t>
      </w:r>
    </w:p>
    <w:p>
      <w:pPr>
        <w:spacing w:line="720" w:lineRule="exact"/>
        <w:jc w:val="center"/>
        <w:rPr>
          <w:rFonts w:ascii="Times New Roman" w:eastAsia="方正小标宋简体" w:hAnsi="Times New Roman" w:cs="Times New Roman"/>
          <w:bCs/>
          <w:sz w:val="44"/>
          <w:szCs w:val="44"/>
        </w:rPr>
      </w:pPr>
      <w:r>
        <w:rPr>
          <w:rFonts w:ascii="Times New Roman" w:eastAsia="方正小标宋简体" w:hAnsi="Times New Roman" w:cs="Times New Roman"/>
          <w:bCs/>
          <w:sz w:val="44"/>
          <w:szCs w:val="44"/>
        </w:rPr>
        <w:t>的</w:t>
      </w:r>
      <w:r>
        <w:rPr>
          <w:rFonts w:ascii="Times New Roman" w:eastAsia="方正小标宋简体" w:hAnsi="Times New Roman" w:cs="Times New Roman" w:hint="eastAsia"/>
          <w:bCs/>
          <w:sz w:val="44"/>
          <w:szCs w:val="44"/>
        </w:rPr>
        <w:t>工作方案</w:t>
      </w:r>
    </w:p>
    <w:p>
      <w:pPr>
        <w:spacing w:line="560" w:lineRule="exact"/>
        <w:rPr>
          <w:rFonts w:ascii="Times New Roman" w:eastAsia="方正仿宋_GBK" w:hAnsi="Times New Roman" w:cs="Times New Roman"/>
          <w:color w:val="333333"/>
          <w:sz w:val="32"/>
          <w:szCs w:val="32"/>
        </w:rPr>
      </w:pP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jc w:val="both"/>
        <w:outlineLvl w:val="0"/>
        <w:rPr>
          <w:rFonts w:ascii="方正仿宋_GBK" w:eastAsia="方正仿宋_GBK" w:hAnsi="方正仿宋_GBK" w:cs="方正仿宋_GBK"/>
          <w:sz w:val="32"/>
          <w:szCs w:val="32"/>
        </w:rPr>
      </w:pPr>
      <w:r>
        <w:rPr>
          <w:rFonts w:ascii="方正仿宋_GBK" w:eastAsia="方正仿宋_GBK" w:hAnsi="方正仿宋_GBK" w:cs="方正仿宋_GBK" w:hint="eastAsia"/>
          <w:sz w:val="32"/>
          <w:szCs w:val="32"/>
        </w:rPr>
        <w:t>为深入学习贯彻习近平总书记在中国科学院第二十次院士大会、中国工程院第十五次院士大会、中国科协第十次全国代表大会上的重要讲话精神，以良好的科创精神喜迎党的二十大胜利召开，</w:t>
      </w:r>
      <w:r>
        <w:rPr>
          <w:rFonts w:ascii="Times New Roman" w:eastAsia="方正仿宋_GBK" w:hAnsi="Times New Roman"/>
          <w:sz w:val="32"/>
          <w:szCs w:val="32"/>
        </w:rPr>
        <w:t>根据</w:t>
      </w:r>
      <w:r>
        <w:rPr>
          <w:rFonts w:ascii="Times New Roman" w:eastAsia="方正仿宋_GBK" w:hAnsi="Times New Roman" w:hint="eastAsia"/>
          <w:sz w:val="32"/>
          <w:szCs w:val="32"/>
        </w:rPr>
        <w:t>《</w:t>
      </w:r>
      <w:r>
        <w:rPr>
          <w:rFonts w:ascii="方正仿宋_GBK" w:eastAsia="方正仿宋_GBK" w:hAnsi="方正仿宋_GBK" w:cs="方正仿宋_GBK" w:hint="eastAsia"/>
          <w:sz w:val="32"/>
          <w:szCs w:val="32"/>
        </w:rPr>
        <w:t>关于举办第十五届广东大学生科技学术季活动的通知</w:t>
      </w:r>
      <w:r>
        <w:rPr>
          <w:rFonts w:ascii="Times New Roman" w:eastAsia="方正仿宋_GBK" w:hAnsi="Times New Roman" w:hint="eastAsia"/>
          <w:sz w:val="32"/>
          <w:szCs w:val="32"/>
        </w:rPr>
        <w:t>》</w:t>
      </w:r>
      <w:r>
        <w:rPr>
          <w:rFonts w:ascii="Times New Roman" w:eastAsia="方正仿宋_GBK" w:hAnsi="Times New Roman"/>
          <w:sz w:val="32"/>
          <w:szCs w:val="32"/>
        </w:rPr>
        <w:t>要求，现将</w:t>
      </w:r>
      <w:r>
        <w:rPr>
          <w:rFonts w:ascii="Times New Roman" w:eastAsia="方正仿宋_GBK" w:hAnsi="Times New Roman" w:hint="eastAsia"/>
          <w:sz w:val="32"/>
          <w:szCs w:val="32"/>
        </w:rPr>
        <w:t>广东大学生数字艺术设计大赛</w:t>
      </w:r>
      <w:r>
        <w:rPr>
          <w:rFonts w:ascii="Times New Roman" w:eastAsia="方正仿宋_GBK" w:hAnsi="Times New Roman"/>
          <w:sz w:val="32"/>
          <w:szCs w:val="32"/>
        </w:rPr>
        <w:t>有关事项</w:t>
      </w:r>
      <w:r>
        <w:rPr>
          <w:rFonts w:ascii="Times New Roman" w:eastAsia="方正仿宋_GBK" w:hAnsi="Times New Roman" w:hint="eastAsia"/>
          <w:sz w:val="32"/>
          <w:szCs w:val="32"/>
        </w:rPr>
        <w:t>安排</w:t>
      </w:r>
      <w:r>
        <w:rPr>
          <w:rFonts w:ascii="Times New Roman" w:eastAsia="方正仿宋_GBK" w:hAnsi="Times New Roman"/>
          <w:sz w:val="32"/>
          <w:szCs w:val="32"/>
        </w:rPr>
        <w:t>如下</w:t>
      </w:r>
      <w:r>
        <w:rPr>
          <w:rFonts w:ascii="Times New Roman" w:eastAsia="方正仿宋_GBK" w:hAnsi="Times New Roman" w:hint="eastAsia"/>
          <w:sz w:val="32"/>
          <w:szCs w:val="32"/>
        </w:rPr>
        <w:t>。</w:t>
      </w:r>
    </w:p>
    <w:p>
      <w:pPr>
        <w:spacing w:line="560" w:lineRule="exact"/>
        <w:ind w:firstLine="640" w:firstLineChars="200"/>
        <w:rPr>
          <w:rFonts w:ascii="Times New Roman" w:eastAsia="方正黑体_GBK" w:hAnsi="Times New Roman" w:cs="Times New Roman"/>
          <w:sz w:val="32"/>
          <w:szCs w:val="32"/>
        </w:rPr>
      </w:pPr>
      <w:r>
        <w:rPr>
          <w:rFonts w:ascii="Times New Roman" w:eastAsia="方正黑体_GBK" w:hAnsi="Times New Roman" w:cs="Times New Roman"/>
          <w:sz w:val="32"/>
          <w:szCs w:val="32"/>
        </w:rPr>
        <w:t>一、活动主题</w:t>
      </w:r>
    </w:p>
    <w:p>
      <w:pPr>
        <w:spacing w:line="560" w:lineRule="exact"/>
        <w:ind w:firstLine="640" w:firstLineChars="200"/>
        <w:rPr>
          <w:rFonts w:ascii="Times New Roman" w:eastAsia="方正仿宋_GBK" w:hAnsi="Times New Roman" w:cs="Times New Roman"/>
          <w:kern w:val="0"/>
          <w:sz w:val="32"/>
          <w:szCs w:val="32"/>
        </w:rPr>
      </w:pPr>
      <w:r>
        <w:rPr>
          <w:rFonts w:ascii="Times New Roman" w:eastAsia="方正仿宋_GBK" w:hAnsi="Times New Roman" w:cs="Times New Roman" w:hint="eastAsia"/>
          <w:kern w:val="0"/>
          <w:sz w:val="32"/>
          <w:szCs w:val="32"/>
        </w:rPr>
        <w:t>未来湾区 创新青年</w:t>
      </w:r>
    </w:p>
    <w:p>
      <w:pPr>
        <w:adjustRightInd w:val="0"/>
        <w:snapToGrid w:val="0"/>
        <w:spacing w:line="560" w:lineRule="exact"/>
        <w:ind w:firstLine="640" w:firstLineChars="200"/>
        <w:jc w:val="left"/>
        <w:rPr>
          <w:rFonts w:ascii="Times New Roman" w:eastAsia="方正黑体_GBK" w:hAnsi="Times New Roman" w:cs="Times New Roman"/>
          <w:color w:val="000000"/>
          <w:kern w:val="0"/>
          <w:sz w:val="32"/>
          <w:szCs w:val="32"/>
        </w:rPr>
      </w:pPr>
      <w:r>
        <w:rPr>
          <w:rFonts w:ascii="Times New Roman" w:eastAsia="方正黑体_GBK" w:hAnsi="Times New Roman" w:cs="Times New Roman" w:hint="eastAsia"/>
          <w:sz w:val="32"/>
          <w:szCs w:val="32"/>
        </w:rPr>
        <w:t>二、</w:t>
      </w:r>
      <w:r>
        <w:rPr>
          <w:rFonts w:ascii="Times New Roman" w:eastAsia="方正黑体_GBK" w:hAnsi="Times New Roman" w:cs="Times New Roman"/>
          <w:color w:val="000000"/>
          <w:kern w:val="0"/>
          <w:sz w:val="32"/>
          <w:szCs w:val="32"/>
        </w:rPr>
        <w:t>组织机构</w:t>
      </w:r>
    </w:p>
    <w:p>
      <w:pPr>
        <w:adjustRightInd w:val="0"/>
        <w:snapToGrid w:val="0"/>
        <w:spacing w:line="560" w:lineRule="exact"/>
        <w:ind w:firstLine="640" w:firstLineChars="200"/>
        <w:rPr>
          <w:rFonts w:ascii="方正仿宋_GBK" w:eastAsia="方正仿宋_GBK" w:hAnsi="方正仿宋_GBK" w:cs="方正仿宋_GBK"/>
          <w:color w:val="000000"/>
          <w:sz w:val="32"/>
          <w:szCs w:val="32"/>
        </w:rPr>
      </w:pPr>
      <w:r>
        <w:rPr>
          <w:rFonts w:ascii="方正楷体_GBK" w:eastAsia="方正楷体_GBK" w:hAnsi="宋体" w:hint="eastAsia"/>
          <w:color w:val="000000"/>
          <w:sz w:val="32"/>
          <w:szCs w:val="32"/>
        </w:rPr>
        <w:t>（一）主办单位</w:t>
      </w:r>
      <w:r>
        <w:rPr>
          <w:rFonts w:ascii="宋体" w:hAnsi="宋体" w:hint="eastAsia"/>
          <w:color w:val="000000"/>
          <w:sz w:val="32"/>
          <w:szCs w:val="32"/>
        </w:rPr>
        <w:t>：</w:t>
      </w:r>
      <w:r>
        <w:rPr>
          <w:rFonts w:ascii="方正仿宋_GBK" w:eastAsia="方正仿宋_GBK" w:hAnsi="方正仿宋_GBK" w:cs="方正仿宋_GBK"/>
          <w:color w:val="000000"/>
          <w:sz w:val="32"/>
          <w:szCs w:val="32"/>
        </w:rPr>
        <w:t>共青团广东省委员会、广东省教育厅、广东省科学技术厅、广东省科学技术协会、广东省学生联合会</w:t>
      </w: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jc w:val="both"/>
        <w:rPr>
          <w:rFonts w:ascii="方正仿宋_GBK" w:eastAsia="方正仿宋_GBK" w:hAnsi="方正仿宋_GBK" w:cs="方正仿宋_GBK"/>
          <w:color w:val="000000"/>
          <w:kern w:val="2"/>
          <w:sz w:val="32"/>
          <w:szCs w:val="32"/>
        </w:rPr>
      </w:pPr>
      <w:r>
        <w:rPr>
          <w:rFonts w:ascii="方正楷体_GBK" w:eastAsia="方正楷体_GBK" w:hAnsi="宋体" w:cs="宋体" w:hint="eastAsia"/>
          <w:color w:val="000000"/>
          <w:kern w:val="2"/>
          <w:sz w:val="32"/>
          <w:szCs w:val="32"/>
        </w:rPr>
        <w:t>（二）承办单位</w:t>
      </w:r>
      <w:r>
        <w:rPr>
          <w:rFonts w:ascii="宋体" w:hAnsi="宋体" w:cs="宋体" w:hint="eastAsia"/>
          <w:sz w:val="32"/>
          <w:szCs w:val="32"/>
        </w:rPr>
        <w:t>：</w:t>
      </w:r>
      <w:r>
        <w:rPr>
          <w:rFonts w:ascii="方正仿宋_GBK" w:eastAsia="方正仿宋_GBK" w:hAnsi="方正仿宋_GBK" w:cs="方正仿宋_GBK" w:hint="eastAsia"/>
          <w:color w:val="000000"/>
          <w:kern w:val="2"/>
          <w:sz w:val="32"/>
          <w:szCs w:val="32"/>
        </w:rPr>
        <w:t>深圳职业技术学院</w:t>
      </w:r>
    </w:p>
    <w:p>
      <w:pPr>
        <w:spacing w:line="560" w:lineRule="exact"/>
        <w:ind w:firstLine="640" w:firstLineChars="200"/>
        <w:rPr>
          <w:rFonts w:ascii="方正仿宋_GBK" w:eastAsia="方正仿宋_GBK" w:hAnsi="方正仿宋_GBK" w:cs="方正仿宋_GBK"/>
          <w:color w:val="000000"/>
          <w:sz w:val="32"/>
          <w:szCs w:val="32"/>
        </w:rPr>
      </w:pPr>
      <w:r>
        <w:rPr>
          <w:rFonts w:ascii="方正楷体_GBK" w:eastAsia="方正楷体_GBK" w:hAnsi="宋体" w:hint="eastAsia"/>
          <w:color w:val="000000"/>
          <w:sz w:val="32"/>
          <w:szCs w:val="32"/>
        </w:rPr>
        <w:t>（三）技术指导</w:t>
      </w:r>
      <w:r>
        <w:rPr>
          <w:rFonts w:ascii="方正仿宋_GBK" w:eastAsia="方正仿宋_GBK" w:hAnsi="方正仿宋_GBK" w:cs="方正仿宋_GBK" w:hint="eastAsia"/>
          <w:sz w:val="32"/>
          <w:szCs w:val="32"/>
        </w:rPr>
        <w:t>：</w:t>
      </w:r>
      <w:r>
        <w:rPr>
          <w:rFonts w:ascii="方正仿宋_GBK" w:eastAsia="方正仿宋_GBK" w:hAnsi="方正仿宋_GBK" w:cs="方正仿宋_GBK" w:hint="eastAsia"/>
          <w:color w:val="000000"/>
          <w:sz w:val="32"/>
          <w:szCs w:val="32"/>
        </w:rPr>
        <w:t>迷你创想（深圳）科技有限公司</w:t>
      </w:r>
    </w:p>
    <w:p>
      <w:pPr>
        <w:spacing w:line="560" w:lineRule="exact"/>
        <w:ind w:firstLine="640" w:firstLineChars="200"/>
        <w:rPr>
          <w:rFonts w:ascii="方正仿宋_GBK" w:eastAsia="方正仿宋_GBK" w:hAnsi="方正仿宋_GBK" w:cs="方正仿宋_GBK"/>
          <w:sz w:val="32"/>
          <w:szCs w:val="32"/>
        </w:rPr>
      </w:pPr>
      <w:r>
        <w:rPr>
          <w:rFonts w:ascii="方正仿宋_GBK" w:eastAsia="方正仿宋_GBK" w:hAnsi="方正仿宋_GBK" w:cs="方正仿宋_GBK" w:hint="eastAsia"/>
          <w:sz w:val="32"/>
          <w:szCs w:val="32"/>
        </w:rPr>
        <w:t>大赛设立组委会，由主办、承办单位的有关负责人组成，负责比赛组织领导工作。组委会下设办公室，设在深圳职业技术学院校团委，负责比赛日常事务。大赛设立评委会，由组委会聘请各领域学术专家组成，负责参赛作品的评审工作。</w:t>
      </w:r>
    </w:p>
    <w:p>
      <w:pPr>
        <w:adjustRightInd w:val="0"/>
        <w:snapToGrid w:val="0"/>
        <w:spacing w:line="560" w:lineRule="exact"/>
        <w:ind w:firstLine="640" w:firstLineChars="200"/>
        <w:jc w:val="left"/>
        <w:rPr>
          <w:rFonts w:ascii="Times New Roman" w:eastAsia="方正黑体_GBK" w:hAnsi="Times New Roman" w:cs="Times New Roman"/>
          <w:sz w:val="32"/>
          <w:szCs w:val="32"/>
        </w:rPr>
      </w:pPr>
      <w:r>
        <w:rPr>
          <w:rFonts w:ascii="Times New Roman" w:eastAsia="方正黑体_GBK" w:hAnsi="Times New Roman" w:cs="Times New Roman" w:hint="eastAsia"/>
          <w:sz w:val="32"/>
          <w:szCs w:val="32"/>
        </w:rPr>
        <w:t>三</w:t>
      </w:r>
      <w:r>
        <w:rPr>
          <w:rFonts w:ascii="Times New Roman" w:eastAsia="方正黑体_GBK" w:hAnsi="Times New Roman" w:cs="Times New Roman"/>
          <w:sz w:val="32"/>
          <w:szCs w:val="32"/>
        </w:rPr>
        <w:t>、参赛对象</w:t>
      </w:r>
      <w:r>
        <w:rPr>
          <w:rFonts w:ascii="Times New Roman" w:eastAsia="方正黑体_GBK" w:hAnsi="Times New Roman" w:cs="Times New Roman" w:hint="eastAsia"/>
          <w:sz w:val="32"/>
          <w:szCs w:val="32"/>
        </w:rPr>
        <w:t>及说明</w:t>
      </w:r>
    </w:p>
    <w:p>
      <w:pPr>
        <w:spacing w:line="560" w:lineRule="exact"/>
        <w:ind w:firstLine="640" w:firstLineChars="200"/>
        <w:rPr>
          <w:rFonts w:ascii="方正仿宋_GBK" w:eastAsia="方正仿宋_GBK" w:hAnsi="方正仿宋_GBK" w:cs="方正仿宋_GBK"/>
          <w:kern w:val="0"/>
          <w:sz w:val="32"/>
          <w:szCs w:val="32"/>
        </w:rPr>
      </w:pPr>
      <w:r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活动面向全省高校全日制在校专科生、本科生、研究生，鼓励</w:t>
      </w:r>
      <w:r>
        <w:rPr>
          <w:rFonts w:ascii="方正仿宋_GBK" w:eastAsia="方正仿宋_GBK" w:hAnsi="方正仿宋_GBK" w:cs="方正仿宋_GBK" w:hint="eastAsia"/>
          <w:sz w:val="32"/>
          <w:szCs w:val="32"/>
        </w:rPr>
        <w:t>港澳高校</w:t>
      </w:r>
      <w:r>
        <w:rPr>
          <w:rFonts w:ascii="Times New Roman" w:eastAsia="方正仿宋_GBK" w:hAnsi="Times New Roman" w:hint="eastAsia"/>
          <w:sz w:val="32"/>
          <w:szCs w:val="32"/>
        </w:rPr>
        <w:t>大学生参赛。</w:t>
      </w:r>
    </w:p>
    <w:p>
      <w:pPr>
        <w:spacing w:line="560" w:lineRule="exact"/>
        <w:ind w:firstLine="640" w:firstLineChars="200"/>
        <w:rPr>
          <w:rFonts w:ascii="方正仿宋_GBK" w:eastAsia="方正仿宋_GBK" w:hAnsi="方正仿宋_GBK" w:cs="方正仿宋_GBK"/>
          <w:kern w:val="0"/>
          <w:sz w:val="32"/>
          <w:szCs w:val="32"/>
        </w:rPr>
      </w:pPr>
      <w:r>
        <w:rPr>
          <w:rFonts w:ascii="方正仿宋_GBK" w:eastAsia="方正仿宋_GBK" w:hAnsi="方正仿宋_GBK" w:cs="方正仿宋_GBK" w:hint="eastAsia"/>
          <w:sz w:val="32"/>
          <w:szCs w:val="32"/>
        </w:rPr>
        <w:t>1.大赛分为内地参赛项目和港澳参赛项目，内地参赛项目面向省内高校大学生（含在粤港澳籍大学生），港澳参赛项目特邀港澳高校大学生参加；</w:t>
      </w:r>
    </w:p>
    <w:p>
      <w:pPr>
        <w:spacing w:line="560" w:lineRule="exact"/>
        <w:ind w:firstLine="640" w:firstLineChars="200"/>
        <w:rPr>
          <w:rFonts w:ascii="方正仿宋_GBK" w:eastAsia="方正仿宋_GBK" w:hAnsi="方正仿宋_GBK" w:cs="方正仿宋_GBK"/>
          <w:kern w:val="0"/>
          <w:sz w:val="32"/>
          <w:szCs w:val="32"/>
        </w:rPr>
      </w:pPr>
      <w:r>
        <w:rPr>
          <w:rFonts w:ascii="方正仿宋_GBK" w:eastAsia="方正仿宋_GBK" w:hAnsi="方正仿宋_GBK" w:cs="方正仿宋_GBK" w:hint="eastAsia"/>
          <w:sz w:val="32"/>
          <w:szCs w:val="32"/>
        </w:rPr>
        <w:t>2.每个参赛队伍学生人数最多不超过5人，允许校内跨年级、跨专业组队，各高校参赛队伍数量不限，不可跨校组队；</w:t>
      </w: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jc w:val="both"/>
        <w:outlineLvl w:val="0"/>
        <w:rPr>
          <w:rFonts w:ascii="方正仿宋_GBK" w:eastAsia="方正仿宋_GBK" w:hAnsi="方正仿宋_GBK" w:cs="方正仿宋_GBK"/>
          <w:sz w:val="32"/>
          <w:szCs w:val="32"/>
        </w:rPr>
      </w:pPr>
      <w:r>
        <w:rPr>
          <w:rFonts w:ascii="方正仿宋_GBK" w:eastAsia="方正仿宋_GBK" w:hAnsi="方正仿宋_GBK" w:cs="方正仿宋_GBK" w:hint="eastAsia"/>
          <w:sz w:val="32"/>
          <w:szCs w:val="32"/>
        </w:rPr>
        <w:t>3.每人只能参加一支队伍，默认投稿人为团队负责人，一切信息以团队负责人提供的为准；</w:t>
      </w: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jc w:val="both"/>
        <w:outlineLvl w:val="0"/>
        <w:rPr>
          <w:rFonts w:ascii="方正仿宋_GBK" w:eastAsia="方正仿宋_GBK" w:hAnsi="方正仿宋_GBK" w:cs="方正仿宋_GBK"/>
          <w:sz w:val="32"/>
          <w:szCs w:val="32"/>
        </w:rPr>
      </w:pPr>
      <w:r>
        <w:rPr>
          <w:rFonts w:ascii="方正仿宋_GBK" w:eastAsia="方正仿宋_GBK" w:hAnsi="方正仿宋_GBK" w:cs="方正仿宋_GBK" w:hint="eastAsia"/>
          <w:sz w:val="32"/>
          <w:szCs w:val="32"/>
        </w:rPr>
        <w:t>4.指导教师必须是参赛队伍所在高校在职教师。指导教师可以指导学生进行组队、知识技能训练，但现场参赛必须由参赛学生独立完成；</w:t>
      </w: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jc w:val="both"/>
        <w:outlineLvl w:val="0"/>
        <w:rPr>
          <w:rFonts w:ascii="方正仿宋_GBK" w:eastAsia="方正仿宋_GBK" w:hAnsi="方正仿宋_GBK" w:cs="方正仿宋_GBK"/>
          <w:sz w:val="32"/>
          <w:szCs w:val="32"/>
        </w:rPr>
      </w:pPr>
      <w:r>
        <w:rPr>
          <w:rFonts w:ascii="方正仿宋_GBK" w:eastAsia="方正仿宋_GBK" w:hAnsi="方正仿宋_GBK" w:cs="方正仿宋_GBK" w:hint="eastAsia"/>
          <w:sz w:val="32"/>
          <w:szCs w:val="32"/>
        </w:rPr>
        <w:t>5.本次大赛仅限使用《迷你世界》和《迷你编程》客户端进行作品创作，提交作品的条件：《迷你世界》账号完成实名认证并绑定手机号码；</w:t>
      </w: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jc w:val="both"/>
        <w:outlineLvl w:val="0"/>
        <w:rPr>
          <w:rFonts w:ascii="方正仿宋_GBK" w:eastAsia="方正仿宋_GBK" w:hAnsi="方正仿宋_GBK" w:cs="方正仿宋_GBK"/>
          <w:sz w:val="32"/>
          <w:szCs w:val="32"/>
        </w:rPr>
      </w:pPr>
      <w:r>
        <w:rPr>
          <w:rFonts w:ascii="方正仿宋_GBK" w:eastAsia="方正仿宋_GBK" w:hAnsi="方正仿宋_GBK" w:cs="方正仿宋_GBK" w:hint="eastAsia"/>
          <w:sz w:val="32"/>
          <w:szCs w:val="32"/>
        </w:rPr>
        <w:t>6.投稿注意事项：非投稿时间分享的作品或历史分享过的作品均不能参赛；投稿作品需要“公开”分享，请勿选择“私有”，大赛期间不得取消分享，如取消分享或删除作品导致评审团无法查阅的，作品将被视为无效及弃权；</w:t>
      </w: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jc w:val="both"/>
        <w:outlineLvl w:val="0"/>
        <w:rPr>
          <w:rFonts w:ascii="Times New Roman" w:eastAsia="方正仿宋_GBK" w:hAnsi="Times New Roman"/>
          <w:sz w:val="32"/>
          <w:szCs w:val="32"/>
        </w:rPr>
      </w:pPr>
      <w:r>
        <w:rPr>
          <w:rFonts w:ascii="方正仿宋_GBK" w:eastAsia="方正仿宋_GBK" w:hAnsi="方正仿宋_GBK" w:cs="方正仿宋_GBK" w:hint="eastAsia"/>
          <w:sz w:val="32"/>
          <w:szCs w:val="32"/>
        </w:rPr>
        <w:t>7.提交作品必须为参赛者原创的作品，且未获得过其他赛事的奖项。作品不存在盗用、侵犯任何第三方的著作权、商标权和其他合法权益的内容。参赛者须遵守国家法律法规，不得宣传色情、暴力、血腥等不良内容，不创作涉及婚恋、政治话题内容</w:t>
      </w:r>
      <w:r>
        <w:rPr>
          <w:rFonts w:ascii="Times New Roman" w:eastAsia="方正仿宋_GBK" w:hAnsi="Times New Roman" w:hint="eastAsia"/>
          <w:sz w:val="32"/>
          <w:szCs w:val="32"/>
        </w:rPr>
        <w:t>。</w:t>
      </w:r>
    </w:p>
    <w:p>
      <w:pPr>
        <w:spacing w:line="560" w:lineRule="exact"/>
        <w:ind w:firstLine="640" w:firstLineChars="200"/>
        <w:rPr>
          <w:rFonts w:ascii="方正黑体_GBK" w:eastAsia="方正黑体_GBK" w:hAnsi="方正黑体_GBK" w:cs="方正黑体_GBK"/>
          <w:sz w:val="32"/>
          <w:szCs w:val="32"/>
        </w:rPr>
      </w:pPr>
      <w:r>
        <w:rPr>
          <w:rFonts w:ascii="方正黑体_GBK" w:eastAsia="方正黑体_GBK" w:hAnsi="方正黑体_GBK" w:cs="方正黑体_GBK"/>
          <w:sz w:val="32"/>
          <w:szCs w:val="32"/>
        </w:rPr>
        <w:t>四、</w:t>
      </w:r>
      <w:r>
        <w:rPr>
          <w:rFonts w:ascii="方正黑体_GBK" w:eastAsia="方正黑体_GBK" w:hAnsi="方正黑体_GBK" w:cs="方正黑体_GBK" w:hint="eastAsia"/>
          <w:sz w:val="32"/>
          <w:szCs w:val="32"/>
        </w:rPr>
        <w:t>推进步骤</w:t>
      </w: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rPr>
          <w:rFonts w:ascii="方正楷体_GBK" w:eastAsia="方正楷体_GBK" w:hAnsi="宋体" w:cs="宋体"/>
          <w:color w:val="000000"/>
          <w:kern w:val="2"/>
          <w:sz w:val="32"/>
          <w:szCs w:val="32"/>
        </w:rPr>
      </w:pPr>
      <w:r>
        <w:rPr>
          <w:rFonts w:ascii="方正楷体_GBK" w:eastAsia="方正楷体_GBK" w:hAnsi="宋体" w:cs="宋体" w:hint="eastAsia"/>
          <w:color w:val="000000"/>
          <w:kern w:val="2"/>
          <w:sz w:val="32"/>
          <w:szCs w:val="32"/>
        </w:rPr>
        <w:t>（一）日程安排</w:t>
      </w: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jc w:val="both"/>
        <w:rPr>
          <w:rFonts w:ascii="Times New Roman" w:eastAsia="方正仿宋_GBK" w:hAnsi="Times New Roman"/>
          <w:sz w:val="32"/>
          <w:szCs w:val="32"/>
        </w:rPr>
      </w:pPr>
      <w:r>
        <w:rPr>
          <w:rFonts w:ascii="方正楷体_GBK" w:eastAsia="方正楷体_GBK" w:hAnsi="方正楷体_GBK" w:cs="方正楷体_GBK" w:hint="eastAsia"/>
          <w:color w:val="000000"/>
          <w:kern w:val="2"/>
          <w:sz w:val="32"/>
          <w:szCs w:val="32"/>
        </w:rPr>
        <w:t>1.启</w:t>
      </w:r>
      <w:r>
        <w:rPr>
          <w:rFonts w:ascii="方正楷体_GBK" w:eastAsia="方正楷体_GBK" w:hAnsi="宋体" w:cs="宋体" w:hint="eastAsia"/>
          <w:color w:val="000000"/>
          <w:kern w:val="2"/>
          <w:sz w:val="32"/>
          <w:szCs w:val="32"/>
        </w:rPr>
        <w:t>动阶段：</w:t>
      </w:r>
      <w:r>
        <w:rPr>
          <w:rFonts w:ascii="方正仿宋_GBK" w:eastAsia="方正仿宋_GBK" w:hAnsi="方正仿宋_GBK" w:cs="方正仿宋_GBK" w:hint="eastAsia"/>
          <w:sz w:val="32"/>
          <w:szCs w:val="32"/>
        </w:rPr>
        <w:t>2022年3月下旬。</w:t>
      </w:r>
      <w:r>
        <w:rPr>
          <w:rFonts w:ascii="Times New Roman" w:eastAsia="方正仿宋_GBK" w:hAnsi="Times New Roman" w:hint="eastAsia"/>
          <w:sz w:val="32"/>
          <w:szCs w:val="32"/>
        </w:rPr>
        <w:t>拟定大赛方案，发布大赛通知。</w:t>
      </w: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jc w:val="both"/>
        <w:rPr>
          <w:rFonts w:ascii="Times New Roman" w:eastAsia="方正仿宋_GBK" w:hAnsi="Times New Roman"/>
          <w:sz w:val="32"/>
          <w:szCs w:val="32"/>
        </w:rPr>
      </w:pPr>
      <w:r>
        <w:rPr>
          <w:rFonts w:ascii="方正楷体_GBK" w:eastAsia="方正楷体_GBK" w:hAnsi="方正楷体_GBK" w:cs="方正楷体_GBK" w:hint="eastAsia"/>
          <w:sz w:val="32"/>
          <w:szCs w:val="32"/>
        </w:rPr>
        <w:t>2.</w:t>
      </w:r>
      <w:r>
        <w:rPr>
          <w:rFonts w:ascii="方正楷体_GBK" w:eastAsia="方正楷体_GBK" w:hAnsi="方正楷体_GBK" w:cs="方正楷体_GBK" w:hint="eastAsia"/>
          <w:color w:val="000000"/>
          <w:kern w:val="2"/>
          <w:sz w:val="32"/>
          <w:szCs w:val="32"/>
        </w:rPr>
        <w:t>比</w:t>
      </w:r>
      <w:r>
        <w:rPr>
          <w:rFonts w:ascii="方正楷体_GBK" w:eastAsia="方正楷体_GBK" w:hAnsi="宋体" w:cs="宋体" w:hint="eastAsia"/>
          <w:color w:val="000000"/>
          <w:kern w:val="2"/>
          <w:sz w:val="32"/>
          <w:szCs w:val="32"/>
        </w:rPr>
        <w:t>赛宣讲、参赛培训阶段</w:t>
      </w:r>
      <w:r>
        <w:rPr>
          <w:rFonts w:ascii="方正仿宋_GBK" w:eastAsia="方正仿宋_GBK" w:hAnsi="方正仿宋_GBK" w:cs="方正仿宋_GBK" w:hint="eastAsia"/>
          <w:color w:val="000000"/>
          <w:kern w:val="2"/>
          <w:sz w:val="32"/>
          <w:szCs w:val="32"/>
        </w:rPr>
        <w:t>：</w:t>
      </w:r>
      <w:r>
        <w:rPr>
          <w:rFonts w:ascii="方正仿宋_GBK" w:eastAsia="方正仿宋_GBK" w:hAnsi="方正仿宋_GBK" w:cs="方正仿宋_GBK" w:hint="eastAsia"/>
          <w:sz w:val="32"/>
          <w:szCs w:val="32"/>
        </w:rPr>
        <w:t>2022年4月。对</w:t>
      </w:r>
      <w:r>
        <w:rPr>
          <w:rFonts w:ascii="Times New Roman" w:eastAsia="方正仿宋_GBK" w:hAnsi="Times New Roman" w:hint="eastAsia"/>
          <w:sz w:val="32"/>
          <w:szCs w:val="32"/>
        </w:rPr>
        <w:t>大赛进行前期宣传、氛围营造，并组织参赛队伍进行线上或线下参赛培训。</w:t>
      </w: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jc w:val="both"/>
        <w:rPr>
          <w:rFonts w:ascii="Times New Roman" w:eastAsia="方正仿宋_GBK" w:hAnsi="Times New Roman"/>
          <w:sz w:val="32"/>
          <w:szCs w:val="32"/>
        </w:rPr>
      </w:pPr>
      <w:r>
        <w:rPr>
          <w:rFonts w:ascii="方正楷体_GBK" w:eastAsia="方正楷体_GBK" w:hAnsi="方正楷体_GBK" w:cs="方正楷体_GBK" w:hint="eastAsia"/>
          <w:color w:val="000000"/>
          <w:kern w:val="2"/>
          <w:sz w:val="32"/>
          <w:szCs w:val="32"/>
        </w:rPr>
        <w:t>3.作</w:t>
      </w:r>
      <w:r>
        <w:rPr>
          <w:rFonts w:ascii="方正楷体_GBK" w:eastAsia="方正楷体_GBK" w:hAnsi="宋体" w:cs="宋体" w:hint="eastAsia"/>
          <w:color w:val="000000"/>
          <w:kern w:val="2"/>
          <w:sz w:val="32"/>
          <w:szCs w:val="32"/>
        </w:rPr>
        <w:t>品征集阶段：</w:t>
      </w:r>
      <w:r>
        <w:rPr>
          <w:rFonts w:ascii="方正仿宋_GBK" w:eastAsia="方正仿宋_GBK" w:hAnsi="方正仿宋_GBK" w:cs="方正仿宋_GBK" w:hint="eastAsia"/>
          <w:sz w:val="32"/>
          <w:szCs w:val="32"/>
        </w:rPr>
        <w:t>即日起至2022年5月21日。各参赛队伍在《迷你世界》或《迷你编程》客户端上创作作品，并在大赛官网（https://ncsgdc.mini1.cn/gussas/2022/home）上完成作品提交。</w:t>
      </w:r>
    </w:p>
    <w:p>
      <w:pPr>
        <w:spacing w:line="560" w:lineRule="exact"/>
        <w:ind w:firstLine="640" w:firstLineChars="200"/>
        <w:rPr>
          <w:rFonts w:ascii="Times New Roman" w:eastAsia="方正仿宋_GBK" w:hAnsi="Times New Roman" w:cs="Times New Roman"/>
          <w:kern w:val="0"/>
          <w:sz w:val="32"/>
          <w:szCs w:val="32"/>
          <w:highlight w:val="none"/>
        </w:rPr>
      </w:pPr>
      <w:r>
        <w:rPr>
          <w:rFonts w:ascii="方正楷体_GBK" w:eastAsia="方正楷体_GBK" w:hAnsi="方正楷体_GBK" w:cs="方正楷体_GBK" w:hint="eastAsia"/>
          <w:color w:val="000000"/>
          <w:sz w:val="32"/>
          <w:szCs w:val="32"/>
        </w:rPr>
        <w:t>4.省</w:t>
      </w:r>
      <w:r>
        <w:rPr>
          <w:rFonts w:ascii="方正楷体_GBK" w:eastAsia="方正楷体_GBK" w:hAnsi="宋体" w:hint="eastAsia"/>
          <w:color w:val="000000"/>
          <w:sz w:val="32"/>
          <w:szCs w:val="32"/>
        </w:rPr>
        <w:t>级初赛：</w:t>
      </w:r>
      <w:r>
        <w:rPr>
          <w:rFonts w:ascii="方正仿宋_GBK" w:eastAsia="方正仿宋_GBK" w:hAnsi="方正仿宋_GBK" w:cs="方正仿宋_GBK" w:hint="eastAsia"/>
          <w:color w:val="000000"/>
          <w:sz w:val="32"/>
          <w:szCs w:val="32"/>
        </w:rPr>
        <w:t>2022年5月下旬</w:t>
      </w:r>
      <w:r>
        <w:rPr>
          <w:rFonts w:ascii="方正仿宋_GBK" w:eastAsia="方正仿宋_GBK" w:hAnsi="方正仿宋_GBK" w:cs="方正仿宋_GBK" w:hint="eastAsia"/>
          <w:kern w:val="0"/>
          <w:sz w:val="32"/>
          <w:szCs w:val="32"/>
        </w:rPr>
        <w:t>。</w:t>
      </w:r>
      <w:r>
        <w:rPr>
          <w:rFonts w:ascii="Times New Roman" w:eastAsia="方正仿宋_GBK" w:hAnsi="Times New Roman" w:cs="Times New Roman" w:hint="eastAsia"/>
          <w:kern w:val="0"/>
          <w:sz w:val="32"/>
          <w:szCs w:val="32"/>
        </w:rPr>
        <w:t>组织省级初赛评审，评选出入围省级决赛的名单，每个高校</w:t>
      </w:r>
      <w:r>
        <w:rPr>
          <w:rFonts w:ascii="Times New Roman" w:eastAsia="方正仿宋_GBK" w:hAnsi="Times New Roman" w:hint="eastAsia"/>
          <w:sz w:val="32"/>
          <w:szCs w:val="32"/>
        </w:rPr>
        <w:t>内地</w:t>
      </w:r>
      <w:r>
        <w:rPr>
          <w:rFonts w:ascii="Times New Roman" w:eastAsia="方正仿宋_GBK" w:hAnsi="Times New Roman" w:hint="eastAsia"/>
          <w:sz w:val="32"/>
          <w:szCs w:val="32"/>
          <w:highlight w:val="none"/>
        </w:rPr>
        <w:t>参赛项目</w:t>
      </w:r>
      <w:r>
        <w:rPr>
          <w:rFonts w:ascii="Times New Roman" w:eastAsia="方正仿宋_GBK" w:hAnsi="Times New Roman" w:cs="Times New Roman" w:hint="eastAsia"/>
          <w:kern w:val="0"/>
          <w:sz w:val="32"/>
          <w:szCs w:val="32"/>
          <w:highlight w:val="none"/>
        </w:rPr>
        <w:t>晋级数量不超</w:t>
      </w:r>
      <w:r>
        <w:rPr>
          <w:rFonts w:ascii="方正仿宋_GBK" w:eastAsia="方正仿宋_GBK" w:hAnsi="方正仿宋_GBK" w:cs="方正仿宋_GBK" w:hint="eastAsia"/>
          <w:kern w:val="0"/>
          <w:sz w:val="32"/>
          <w:szCs w:val="32"/>
          <w:highlight w:val="none"/>
        </w:rPr>
        <w:t>过2个</w:t>
      </w:r>
      <w:r>
        <w:rPr>
          <w:rFonts w:ascii="Times New Roman" w:eastAsia="方正仿宋_GBK" w:hAnsi="Times New Roman" w:cs="Times New Roman" w:hint="eastAsia"/>
          <w:kern w:val="0"/>
          <w:sz w:val="32"/>
          <w:szCs w:val="32"/>
          <w:highlight w:val="none"/>
        </w:rPr>
        <w:t>，</w:t>
      </w:r>
      <w:r>
        <w:rPr>
          <w:rFonts w:ascii="Times New Roman" w:eastAsia="方正仿宋_GBK" w:hAnsi="Times New Roman" w:hint="eastAsia"/>
          <w:sz w:val="32"/>
          <w:szCs w:val="32"/>
          <w:highlight w:val="none"/>
        </w:rPr>
        <w:t>港澳参赛项目</w:t>
      </w:r>
      <w:r>
        <w:rPr>
          <w:rFonts w:ascii="Times New Roman" w:eastAsia="方正仿宋_GBK" w:hAnsi="Times New Roman" w:cs="Times New Roman" w:hint="eastAsia"/>
          <w:kern w:val="0"/>
          <w:sz w:val="32"/>
          <w:szCs w:val="32"/>
          <w:highlight w:val="none"/>
        </w:rPr>
        <w:t>晋级数量不限</w:t>
      </w:r>
      <w:r>
        <w:rPr>
          <w:rFonts w:ascii="Times New Roman" w:eastAsia="方正仿宋_GBK" w:hAnsi="Times New Roman" w:hint="eastAsia"/>
          <w:sz w:val="32"/>
          <w:szCs w:val="32"/>
          <w:highlight w:val="none"/>
        </w:rPr>
        <w:t>。</w:t>
      </w: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jc w:val="both"/>
        <w:rPr>
          <w:rFonts w:ascii="Times New Roman" w:eastAsia="方正仿宋_GBK" w:hAnsi="Times New Roman"/>
          <w:sz w:val="32"/>
          <w:szCs w:val="32"/>
          <w:highlight w:val="none"/>
        </w:rPr>
      </w:pPr>
      <w:r>
        <w:rPr>
          <w:rFonts w:ascii="方正楷体_GBK" w:eastAsia="方正楷体_GBK" w:hAnsi="方正楷体_GBK" w:cs="方正楷体_GBK" w:hint="eastAsia"/>
          <w:color w:val="000000"/>
          <w:kern w:val="2"/>
          <w:sz w:val="32"/>
          <w:szCs w:val="32"/>
          <w:highlight w:val="none"/>
        </w:rPr>
        <w:t>5.省级</w:t>
      </w:r>
      <w:r>
        <w:rPr>
          <w:rFonts w:ascii="方正楷体_GBK" w:eastAsia="方正楷体_GBK" w:hAnsi="宋体" w:cs="宋体" w:hint="eastAsia"/>
          <w:color w:val="000000"/>
          <w:kern w:val="2"/>
          <w:sz w:val="32"/>
          <w:szCs w:val="32"/>
          <w:highlight w:val="none"/>
        </w:rPr>
        <w:t>决赛：</w:t>
      </w:r>
      <w:r>
        <w:rPr>
          <w:rFonts w:ascii="方正仿宋_GBK" w:eastAsia="方正仿宋_GBK" w:hAnsi="方正仿宋_GBK" w:cs="方正仿宋_GBK" w:hint="eastAsia"/>
          <w:color w:val="000000"/>
          <w:sz w:val="32"/>
          <w:szCs w:val="32"/>
          <w:highlight w:val="none"/>
        </w:rPr>
        <w:t>2022年</w:t>
      </w:r>
      <w:r>
        <w:rPr>
          <w:rFonts w:ascii="方正仿宋_GBK" w:eastAsia="方正仿宋_GBK" w:hAnsi="方正仿宋_GBK" w:cs="方正仿宋_GBK" w:hint="eastAsia"/>
          <w:color w:val="000000"/>
          <w:kern w:val="2"/>
          <w:sz w:val="32"/>
          <w:szCs w:val="32"/>
          <w:highlight w:val="none"/>
        </w:rPr>
        <w:t>6月上旬</w:t>
      </w:r>
      <w:r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  <w:t>。组</w:t>
      </w:r>
      <w:r>
        <w:rPr>
          <w:rFonts w:ascii="Times New Roman" w:eastAsia="方正仿宋_GBK" w:hAnsi="Times New Roman" w:hint="eastAsia"/>
          <w:sz w:val="32"/>
          <w:szCs w:val="32"/>
          <w:highlight w:val="none"/>
        </w:rPr>
        <w:t>织省级决赛评审；决赛比赛形式为入围队伍通</w:t>
      </w:r>
      <w:r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  <w:t>过PPT、</w:t>
      </w:r>
      <w:r>
        <w:rPr>
          <w:rFonts w:ascii="Times New Roman" w:eastAsia="方正仿宋_GBK" w:hAnsi="Times New Roman" w:hint="eastAsia"/>
          <w:sz w:val="32"/>
          <w:szCs w:val="32"/>
          <w:highlight w:val="none"/>
        </w:rPr>
        <w:t>作品视频、作品演示等方式进行现场路演，现场回答评委提问。</w:t>
      </w: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rPr>
          <w:rFonts w:ascii="方正楷体_GBK" w:eastAsia="方正楷体_GBK" w:hAnsi="宋体" w:cs="宋体"/>
          <w:color w:val="000000"/>
          <w:kern w:val="2"/>
          <w:sz w:val="32"/>
          <w:szCs w:val="32"/>
          <w:highlight w:val="none"/>
        </w:rPr>
      </w:pPr>
      <w:r>
        <w:rPr>
          <w:rFonts w:ascii="方正楷体_GBK" w:eastAsia="方正楷体_GBK" w:hAnsi="宋体" w:cs="宋体" w:hint="eastAsia"/>
          <w:color w:val="000000"/>
          <w:kern w:val="2"/>
          <w:sz w:val="32"/>
          <w:szCs w:val="32"/>
          <w:highlight w:val="none"/>
        </w:rPr>
        <w:t>（二）省级决赛地点</w:t>
      </w: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jc w:val="both"/>
        <w:rPr>
          <w:rFonts w:ascii="Times New Roman" w:eastAsia="方正仿宋_GBK" w:hAnsi="Times New Roman"/>
          <w:sz w:val="32"/>
          <w:szCs w:val="32"/>
          <w:highlight w:val="none"/>
        </w:rPr>
      </w:pPr>
      <w:r>
        <w:rPr>
          <w:rFonts w:ascii="Times New Roman" w:eastAsia="方正仿宋_GBK" w:hAnsi="Times New Roman" w:hint="eastAsia"/>
          <w:sz w:val="32"/>
          <w:szCs w:val="32"/>
          <w:highlight w:val="none"/>
        </w:rPr>
        <w:t>深圳职业技术学院</w:t>
      </w: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outlineLvl w:val="0"/>
        <w:rPr>
          <w:rFonts w:ascii="Times New Roman" w:eastAsia="方正黑体_GBK" w:hAnsi="Times New Roman"/>
          <w:color w:val="000000"/>
          <w:sz w:val="32"/>
          <w:szCs w:val="32"/>
          <w:highlight w:val="none"/>
          <w:shd w:val="clear" w:color="auto" w:fill="FFFFFF"/>
        </w:rPr>
      </w:pPr>
      <w:r>
        <w:rPr>
          <w:rFonts w:ascii="Times New Roman" w:eastAsia="方正黑体_GBK" w:hAnsi="Times New Roman"/>
          <w:color w:val="000000"/>
          <w:sz w:val="32"/>
          <w:szCs w:val="32"/>
          <w:highlight w:val="none"/>
          <w:shd w:val="clear" w:color="auto" w:fill="FFFFFF"/>
        </w:rPr>
        <w:t>五、比赛内容</w:t>
      </w: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rPr>
          <w:rFonts w:ascii="方正楷体_GBK" w:eastAsia="方正楷体_GBK" w:hAnsi="宋体" w:cs="宋体"/>
          <w:color w:val="000000"/>
          <w:kern w:val="2"/>
          <w:sz w:val="32"/>
          <w:szCs w:val="32"/>
          <w:highlight w:val="none"/>
        </w:rPr>
      </w:pPr>
      <w:r>
        <w:rPr>
          <w:rFonts w:ascii="方正楷体_GBK" w:eastAsia="方正楷体_GBK" w:hAnsi="宋体" w:cs="宋体" w:hint="eastAsia"/>
          <w:color w:val="000000"/>
          <w:kern w:val="2"/>
          <w:sz w:val="32"/>
          <w:szCs w:val="32"/>
          <w:highlight w:val="none"/>
        </w:rPr>
        <w:t>（一）大赛命题及作品要求</w:t>
      </w:r>
    </w:p>
    <w:p>
      <w:pPr>
        <w:adjustRightInd w:val="0"/>
        <w:snapToGrid w:val="0"/>
        <w:spacing w:line="560" w:lineRule="exact"/>
        <w:ind w:firstLine="640" w:firstLineChars="200"/>
        <w:rPr>
          <w:rFonts w:ascii="方正仿宋_GBK" w:eastAsia="方正仿宋_GBK" w:hAnsi="方正仿宋_GBK" w:cs="方正仿宋_GBK"/>
          <w:sz w:val="32"/>
          <w:highlight w:val="none"/>
        </w:rPr>
      </w:pPr>
      <w:r>
        <w:rPr>
          <w:rFonts w:ascii="方正仿宋_GBK" w:eastAsia="方正仿宋_GBK" w:hAnsi="方正仿宋_GBK" w:cs="方正仿宋_GBK" w:hint="eastAsia"/>
          <w:b/>
          <w:bCs/>
          <w:sz w:val="32"/>
          <w:highlight w:val="none"/>
        </w:rPr>
        <w:t>大赛命题：</w:t>
      </w:r>
      <w:r>
        <w:rPr>
          <w:rFonts w:ascii="方正仿宋_GBK" w:eastAsia="方正仿宋_GBK" w:hAnsi="方正仿宋_GBK" w:cs="方正仿宋_GBK" w:hint="eastAsia"/>
          <w:sz w:val="32"/>
          <w:highlight w:val="none"/>
        </w:rPr>
        <w:t>“粤港澳大湾区”被定调为“世界级城市群”、“国际一流湾区”、“国家级战略”、“千年大计”。2049年，新中国成立100年时，我国建成富强民主文明和谐美丽的社会主义现代化强国。此时的粤港澳大湾区将向世界展示一个全新的、充满活力、富有国际竞争力的一流湾区和世界级城市群。本次大赛以“2</w:t>
      </w:r>
      <w:r>
        <w:rPr>
          <w:rFonts w:ascii="方正仿宋_GBK" w:eastAsia="方正仿宋_GBK" w:hAnsi="方正仿宋_GBK" w:cs="方正仿宋_GBK"/>
          <w:sz w:val="32"/>
          <w:highlight w:val="none"/>
        </w:rPr>
        <w:t>049</w:t>
      </w:r>
      <w:r>
        <w:rPr>
          <w:rFonts w:ascii="方正仿宋_GBK" w:eastAsia="方正仿宋_GBK" w:hAnsi="方正仿宋_GBK" w:cs="方正仿宋_GBK" w:hint="eastAsia"/>
          <w:sz w:val="32"/>
          <w:highlight w:val="none"/>
        </w:rPr>
        <w:t>，未来湾区”“粤港澳大湾区9+2城市特色”“深港融合，一河两岸”为背景，各参赛队伍需发挥想象力和创造力，通过参与游戏项目的设计、开发，制作出能充分展现未来大湾区的科技、生态、人文等元素，能代表大湾区青年创新创意精神的游戏或具有逻辑性的数字场景。</w:t>
      </w:r>
    </w:p>
    <w:p>
      <w:pPr>
        <w:adjustRightInd w:val="0"/>
        <w:snapToGrid w:val="0"/>
        <w:spacing w:line="560" w:lineRule="exact"/>
        <w:ind w:firstLine="640" w:firstLineChars="200"/>
        <w:rPr>
          <w:rFonts w:ascii="Times New Roman" w:eastAsia="方正仿宋_GBK" w:hAnsi="Times New Roman" w:cs="Times New Roman"/>
          <w:kern w:val="0"/>
          <w:sz w:val="32"/>
          <w:szCs w:val="32"/>
          <w:highlight w:val="none"/>
        </w:rPr>
      </w:pPr>
      <w:r>
        <w:rPr>
          <w:rFonts w:ascii="方正仿宋_GBK" w:eastAsia="方正仿宋_GBK" w:hAnsi="方正仿宋_GBK" w:cs="方正仿宋_GBK" w:hint="eastAsia"/>
          <w:b/>
          <w:bCs/>
          <w:sz w:val="32"/>
          <w:highlight w:val="none"/>
        </w:rPr>
        <w:t>参赛作品要求：</w:t>
      </w:r>
      <w:r>
        <w:rPr>
          <w:rFonts w:ascii="Times New Roman" w:eastAsia="方正仿宋_GBK" w:hAnsi="Times New Roman" w:cs="Times New Roman" w:hint="eastAsia"/>
          <w:kern w:val="0"/>
          <w:sz w:val="32"/>
          <w:szCs w:val="32"/>
          <w:highlight w:val="none"/>
        </w:rPr>
        <w:t>作品需紧扣大赛主题，通过参赛者对游戏画面的构建和动画的设计，让观众“</w:t>
      </w:r>
      <w:r>
        <w:rPr>
          <w:rFonts w:ascii="方正仿宋_GBK" w:eastAsia="方正仿宋_GBK" w:hAnsi="方正仿宋_GBK" w:cs="方正仿宋_GBK" w:hint="eastAsia"/>
          <w:sz w:val="32"/>
          <w:highlight w:val="none"/>
        </w:rPr>
        <w:t>玩转未来湾区</w:t>
      </w:r>
      <w:r>
        <w:rPr>
          <w:rFonts w:ascii="Times New Roman" w:eastAsia="方正仿宋_GBK" w:hAnsi="Times New Roman" w:cs="Times New Roman" w:hint="eastAsia"/>
          <w:kern w:val="0"/>
          <w:sz w:val="32"/>
          <w:szCs w:val="32"/>
          <w:highlight w:val="none"/>
        </w:rPr>
        <w:t>”，并</w:t>
      </w:r>
      <w:r>
        <w:rPr>
          <w:rFonts w:ascii="方正仿宋_GBK" w:eastAsia="方正仿宋_GBK" w:hAnsi="方正仿宋_GBK" w:cs="方正仿宋_GBK" w:hint="eastAsia"/>
          <w:sz w:val="32"/>
          <w:highlight w:val="none"/>
        </w:rPr>
        <w:t>对“未来湾区”产生良好的畅想，发掘“未来湾区”之美，率先通过游戏实现“深港融合”。</w:t>
      </w: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rPr>
          <w:rFonts w:ascii="方正楷体_GBK" w:eastAsia="方正楷体_GBK" w:hAnsi="宋体" w:cs="宋体"/>
          <w:color w:val="000000"/>
          <w:kern w:val="2"/>
          <w:sz w:val="32"/>
          <w:szCs w:val="32"/>
          <w:highlight w:val="none"/>
        </w:rPr>
      </w:pPr>
      <w:r>
        <w:rPr>
          <w:rFonts w:ascii="方正楷体_GBK" w:eastAsia="方正楷体_GBK" w:hAnsi="宋体" w:cs="宋体" w:hint="eastAsia"/>
          <w:color w:val="000000"/>
          <w:kern w:val="2"/>
          <w:sz w:val="32"/>
          <w:szCs w:val="32"/>
          <w:highlight w:val="none"/>
        </w:rPr>
        <w:t>（二）大赛组别</w:t>
      </w:r>
    </w:p>
    <w:p>
      <w:pPr>
        <w:spacing w:line="560" w:lineRule="exact"/>
        <w:ind w:firstLine="640" w:firstLineChars="200"/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</w:pPr>
      <w:r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  <w:t>场景设计组</w:t>
      </w:r>
      <w:bookmarkStart w:id="0" w:name="_GoBack"/>
      <w:bookmarkEnd w:id="0"/>
    </w:p>
    <w:p>
      <w:pPr>
        <w:spacing w:line="560" w:lineRule="exact"/>
        <w:ind w:firstLine="640" w:firstLineChars="200"/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</w:pPr>
      <w:r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  <w:t>1、依托粤港澳大湾区9+2城市，可还原真实的城市 “宏伟”标志性建筑或旅游景点，或畅想充满科技的未来大湾区；</w:t>
      </w:r>
    </w:p>
    <w:p>
      <w:pPr>
        <w:spacing w:line="560" w:lineRule="exact"/>
        <w:ind w:firstLine="640" w:firstLineChars="200"/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</w:pPr>
      <w:r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  <w:t>（地标建筑包括不限于：深圳市民中心、深圳大运中心、广州塔、港珠澳大桥、香港会议展览中心、澳门大三巴牌坊、开平碉楼、佛山坊塔等等）</w:t>
      </w:r>
    </w:p>
    <w:p>
      <w:pPr>
        <w:spacing w:line="560" w:lineRule="exact"/>
        <w:ind w:firstLine="640" w:firstLineChars="200"/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</w:pPr>
      <w:r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  <w:t>2、工具选择要求：</w:t>
      </w:r>
    </w:p>
    <w:p>
      <w:pPr>
        <w:spacing w:line="560" w:lineRule="exact"/>
        <w:ind w:firstLine="640" w:firstLineChars="200"/>
        <w:rPr>
          <w:rFonts w:ascii="方正仿宋_GBK" w:eastAsia="方正仿宋_GBK" w:hAnsi="方正仿宋_GBK" w:cs="方正仿宋_GBK" w:hint="eastAsia"/>
          <w:sz w:val="32"/>
          <w:szCs w:val="32"/>
          <w:highlight w:val="none"/>
          <w:lang w:eastAsia="zh-CN"/>
        </w:rPr>
      </w:pPr>
      <w:r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  <w:t>a、使用《迷你世界》客户端在“开发者模式”下，运用方块复制器、微缩、蓝图、微缩模型等工具，能提高你的创作速度和细节品质。直接使用编辑模式上传，即可在大赛官网投稿</w:t>
      </w:r>
      <w:r>
        <w:rPr>
          <w:rFonts w:ascii="方正仿宋_GBK" w:eastAsia="方正仿宋_GBK" w:hAnsi="方正仿宋_GBK" w:cs="方正仿宋_GBK" w:hint="eastAsia"/>
          <w:sz w:val="32"/>
          <w:szCs w:val="32"/>
          <w:highlight w:val="none"/>
          <w:lang w:eastAsia="zh-CN"/>
        </w:rPr>
        <w:t>；</w:t>
      </w:r>
    </w:p>
    <w:p>
      <w:pPr>
        <w:spacing w:line="560" w:lineRule="exact"/>
        <w:ind w:firstLine="640" w:firstLineChars="200"/>
        <w:rPr>
          <w:rFonts w:ascii="方正仿宋_GBK" w:eastAsia="方正仿宋_GBK" w:hAnsi="方正仿宋_GBK" w:cs="方正仿宋_GBK" w:hint="eastAsia"/>
          <w:sz w:val="32"/>
          <w:szCs w:val="32"/>
          <w:highlight w:val="none"/>
          <w:lang w:eastAsia="zh-CN"/>
        </w:rPr>
      </w:pPr>
      <w:r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  <w:t>b、使用《迷你编程》客户端，合理结合积木编程和手动搭建完成作品。提交文件格式为mcode格式，并且文件命名格式【作品名+作者名】</w:t>
      </w:r>
      <w:r>
        <w:rPr>
          <w:rFonts w:ascii="方正仿宋_GBK" w:eastAsia="方正仿宋_GBK" w:hAnsi="方正仿宋_GBK" w:cs="方正仿宋_GBK" w:hint="eastAsia"/>
          <w:sz w:val="32"/>
          <w:szCs w:val="32"/>
          <w:highlight w:val="none"/>
          <w:lang w:eastAsia="zh-CN"/>
        </w:rPr>
        <w:t>。</w:t>
      </w:r>
    </w:p>
    <w:p>
      <w:pPr>
        <w:spacing w:line="560" w:lineRule="exact"/>
        <w:ind w:firstLine="640" w:firstLineChars="200"/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</w:pPr>
      <w:r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  <w:t>游戏设计组</w:t>
      </w:r>
    </w:p>
    <w:p>
      <w:pPr>
        <w:spacing w:line="560" w:lineRule="exact"/>
        <w:ind w:firstLine="640" w:firstLineChars="200"/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</w:pPr>
      <w:r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  <w:t>1、围绕大赛主题，以大湾区城市IP、文化内涵、自然景观、人文风情等进行创造性设计和创作，不限玩法类型（包括但不限于：对战/模拟养成/角色扮演/塔防/冒险/跑酷/解密/体育竞技等）。</w:t>
      </w:r>
    </w:p>
    <w:p>
      <w:pPr>
        <w:spacing w:line="560" w:lineRule="exact"/>
        <w:ind w:firstLine="640" w:firstLineChars="200"/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</w:pPr>
      <w:r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  <w:t>2、工具选择要求：</w:t>
      </w:r>
    </w:p>
    <w:p>
      <w:pPr>
        <w:spacing w:line="560" w:lineRule="exact"/>
        <w:ind w:firstLine="640" w:firstLineChars="200"/>
        <w:rPr>
          <w:rFonts w:ascii="方正仿宋_GBK" w:eastAsia="方正仿宋_GBK" w:hAnsi="方正仿宋_GBK" w:cs="方正仿宋_GBK" w:hint="eastAsia"/>
          <w:sz w:val="32"/>
          <w:szCs w:val="32"/>
          <w:highlight w:val="none"/>
          <w:lang w:eastAsia="zh-CN"/>
        </w:rPr>
      </w:pPr>
      <w:r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  <w:t>a、使用《迷你世界》客户端在“开发者模式”下，运用插件、触发器、UI编辑器或脚本等功能创作作品，并转换为玩法模式上传，即可在大赛官网投稿</w:t>
      </w:r>
      <w:r>
        <w:rPr>
          <w:rFonts w:ascii="方正仿宋_GBK" w:eastAsia="方正仿宋_GBK" w:hAnsi="方正仿宋_GBK" w:cs="方正仿宋_GBK" w:hint="eastAsia"/>
          <w:sz w:val="32"/>
          <w:szCs w:val="32"/>
          <w:highlight w:val="none"/>
          <w:lang w:eastAsia="zh-CN"/>
        </w:rPr>
        <w:t>；</w:t>
      </w:r>
    </w:p>
    <w:p>
      <w:pPr>
        <w:spacing w:line="560" w:lineRule="exact"/>
        <w:ind w:firstLine="640" w:firstLineChars="200"/>
        <w:rPr>
          <w:rFonts w:ascii="方正仿宋_GBK" w:eastAsia="方正仿宋_GBK" w:hAnsi="方正仿宋_GBK" w:cs="方正仿宋_GBK" w:hint="eastAsia"/>
          <w:sz w:val="32"/>
          <w:szCs w:val="32"/>
          <w:highlight w:val="none"/>
          <w:lang w:eastAsia="zh-CN"/>
        </w:rPr>
      </w:pPr>
      <w:r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  <w:t>b、使用《迷你编程》客户端，合理结合积木编程和手动搭建完成作品。提交文件格式为mcode格式，并且文件命名格式【作品名+作者名】</w:t>
      </w:r>
      <w:r>
        <w:rPr>
          <w:rFonts w:ascii="方正仿宋_GBK" w:eastAsia="方正仿宋_GBK" w:hAnsi="方正仿宋_GBK" w:cs="方正仿宋_GBK" w:hint="eastAsia"/>
          <w:sz w:val="32"/>
          <w:szCs w:val="32"/>
          <w:highlight w:val="none"/>
          <w:lang w:eastAsia="zh-CN"/>
        </w:rPr>
        <w:t>。</w:t>
      </w:r>
    </w:p>
    <w:p>
      <w:pPr>
        <w:adjustRightInd w:val="0"/>
        <w:snapToGrid w:val="0"/>
        <w:spacing w:line="560" w:lineRule="exact"/>
        <w:ind w:firstLine="640" w:firstLineChars="200"/>
        <w:jc w:val="left"/>
        <w:rPr>
          <w:rFonts w:ascii="Times New Roman Regular" w:eastAsia="方正黑体_GBK" w:hAnsi="Times New Roman Regular" w:cs="Times New Roman Regular"/>
          <w:color w:val="000000"/>
          <w:kern w:val="0"/>
          <w:sz w:val="32"/>
          <w:szCs w:val="32"/>
          <w:highlight w:val="none"/>
        </w:rPr>
      </w:pPr>
      <w:r>
        <w:rPr>
          <w:rFonts w:ascii="Times New Roman Regular" w:eastAsia="方正黑体_GBK" w:hAnsi="Times New Roman Regular" w:cs="Times New Roman Regular" w:hint="eastAsia"/>
          <w:color w:val="000000"/>
          <w:kern w:val="0"/>
          <w:sz w:val="32"/>
          <w:szCs w:val="32"/>
          <w:highlight w:val="none"/>
        </w:rPr>
        <w:t>六</w:t>
      </w:r>
      <w:r>
        <w:rPr>
          <w:rFonts w:ascii="Times New Roman Regular" w:eastAsia="方正黑体_GBK" w:hAnsi="Times New Roman Regular" w:cs="Times New Roman Regular"/>
          <w:color w:val="000000"/>
          <w:kern w:val="0"/>
          <w:sz w:val="32"/>
          <w:szCs w:val="32"/>
          <w:highlight w:val="none"/>
        </w:rPr>
        <w:t>、奖项设置</w:t>
      </w:r>
      <w:r>
        <w:rPr>
          <w:rFonts w:ascii="Times New Roman Regular" w:eastAsia="方正黑体_GBK" w:hAnsi="Times New Roman Regular" w:cs="Times New Roman Regular" w:hint="eastAsia"/>
          <w:color w:val="000000"/>
          <w:kern w:val="0"/>
          <w:sz w:val="32"/>
          <w:szCs w:val="32"/>
          <w:highlight w:val="none"/>
        </w:rPr>
        <w:t>及激励措施</w:t>
      </w:r>
    </w:p>
    <w:p>
      <w:pPr>
        <w:spacing w:line="560" w:lineRule="exact"/>
        <w:ind w:firstLine="640" w:firstLineChars="200"/>
        <w:rPr>
          <w:rFonts w:ascii="方正楷体_GBK" w:eastAsia="方正楷体_GBK" w:hAnsi="方正楷体_GBK" w:cs="方正楷体_GBK"/>
          <w:sz w:val="32"/>
          <w:highlight w:val="none"/>
        </w:rPr>
      </w:pPr>
      <w:r>
        <w:rPr>
          <w:rFonts w:ascii="方正楷体_GBK" w:eastAsia="方正楷体_GBK" w:hAnsi="方正楷体_GBK" w:cs="方正楷体_GBK" w:hint="eastAsia"/>
          <w:sz w:val="32"/>
          <w:highlight w:val="none"/>
        </w:rPr>
        <w:t>（一）奖项设置</w:t>
      </w:r>
    </w:p>
    <w:p>
      <w:pPr>
        <w:spacing w:line="560" w:lineRule="exact"/>
        <w:ind w:firstLine="640" w:firstLineChars="200"/>
        <w:rPr>
          <w:rFonts w:ascii="方正仿宋_GBK" w:eastAsia="方正仿宋_GBK" w:hAnsi="方正仿宋_GBK" w:cs="方正仿宋_GBK"/>
          <w:sz w:val="32"/>
          <w:szCs w:val="32"/>
          <w:highlight w:val="none"/>
        </w:rPr>
      </w:pPr>
      <w:r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  <w:t>本次比赛设一、二、三等奖、优秀指导老师奖和优秀组织奖。</w:t>
      </w:r>
      <w:r>
        <w:rPr>
          <w:rFonts w:ascii="方正仿宋_GBK" w:eastAsia="方正仿宋_GBK" w:hAnsi="方正仿宋_GBK" w:cs="方正仿宋_GBK"/>
          <w:sz w:val="32"/>
          <w:szCs w:val="32"/>
          <w:highlight w:val="none"/>
        </w:rPr>
        <w:t>具体奖项比例根据活动实际情况</w:t>
      </w:r>
      <w:r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  <w:t>设置。港澳大学生参赛项目单独设置奖项。</w:t>
      </w: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jc w:val="both"/>
        <w:rPr>
          <w:rFonts w:ascii="方正楷体_GBK" w:eastAsia="方正楷体_GBK" w:hAnsi="方正楷体_GBK" w:cs="方正楷体_GBK"/>
          <w:sz w:val="32"/>
          <w:szCs w:val="32"/>
          <w:highlight w:val="none"/>
        </w:rPr>
      </w:pPr>
      <w:r>
        <w:rPr>
          <w:rFonts w:ascii="方正楷体_GBK" w:eastAsia="方正楷体_GBK" w:hAnsi="方正楷体_GBK" w:cs="方正楷体_GBK" w:hint="eastAsia"/>
          <w:sz w:val="32"/>
          <w:szCs w:val="32"/>
          <w:highlight w:val="none"/>
        </w:rPr>
        <w:t>（二）评选标准</w:t>
      </w: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jc w:val="both"/>
        <w:rPr>
          <w:rFonts w:ascii="方正仿宋_GBK" w:eastAsia="方正仿宋_GBK" w:hAnsi="方正仿宋_GBK" w:cs="方正仿宋_GBK"/>
          <w:sz w:val="32"/>
          <w:szCs w:val="32"/>
          <w:highlight w:val="none"/>
        </w:rPr>
      </w:pPr>
      <w:r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  <w:t>“优秀组织奖”根据承办学校发动、执行情况以及各参赛学校校级活动开展情况等进行评选。凡获得省级决赛二等奖及以上荣誉的项目，其项目的指导老师可以获得“优秀指导老师”称号（原则上每支队伍最多授予</w:t>
      </w:r>
      <w:r>
        <w:rPr>
          <w:rFonts w:ascii="方正仿宋_GBK" w:eastAsia="方正仿宋_GBK" w:hAnsi="方正仿宋_GBK" w:cs="方正仿宋_GBK"/>
          <w:sz w:val="32"/>
          <w:szCs w:val="32"/>
          <w:highlight w:val="none"/>
        </w:rPr>
        <w:t>2</w:t>
      </w:r>
      <w:r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  <w:t>名“优秀指导教师”）。</w:t>
      </w: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jc w:val="both"/>
        <w:rPr>
          <w:rFonts w:ascii="方正仿宋_GBK" w:eastAsia="方正仿宋_GBK" w:hAnsi="方正仿宋_GBK" w:cs="方正仿宋_GBK"/>
          <w:sz w:val="32"/>
          <w:szCs w:val="32"/>
          <w:highlight w:val="none"/>
        </w:rPr>
      </w:pPr>
      <w:r>
        <w:rPr>
          <w:rFonts w:ascii="方正楷体_GBK" w:eastAsia="方正楷体_GBK" w:hAnsi="方正楷体_GBK" w:cs="方正楷体_GBK" w:hint="eastAsia"/>
          <w:sz w:val="32"/>
          <w:szCs w:val="32"/>
          <w:highlight w:val="none"/>
        </w:rPr>
        <w:t>（三）激励措施</w:t>
      </w: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jc w:val="both"/>
        <w:rPr>
          <w:rFonts w:ascii="方正仿宋_GBK" w:eastAsia="方正仿宋_GBK" w:hAnsi="方正仿宋_GBK" w:cs="方正仿宋_GBK"/>
          <w:sz w:val="32"/>
          <w:szCs w:val="32"/>
          <w:highlight w:val="none"/>
        </w:rPr>
      </w:pPr>
      <w:r>
        <w:rPr>
          <w:rFonts w:ascii="方正仿宋_GBK" w:eastAsia="方正仿宋_GBK" w:hAnsi="方正仿宋_GBK" w:cs="方正仿宋_GBK" w:hint="eastAsia"/>
          <w:sz w:val="32"/>
          <w:szCs w:val="32"/>
          <w:highlight w:val="none"/>
        </w:rPr>
        <w:t>通过与行业协会合作，邀请行业内优质企业对省级决赛获奖的团队成员进行现场面试、直聘，提供就业、实习机会。</w:t>
      </w: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jc w:val="both"/>
        <w:outlineLvl w:val="0"/>
        <w:rPr>
          <w:rFonts w:ascii="方正黑体_GBK" w:eastAsia="方正黑体_GBK" w:hAnsi="方正黑体_GBK" w:cs="方正黑体_GBK"/>
          <w:color w:val="000000"/>
          <w:sz w:val="32"/>
          <w:szCs w:val="32"/>
          <w:highlight w:val="none"/>
          <w:shd w:val="clear" w:color="auto" w:fill="FFFFFF"/>
        </w:rPr>
      </w:pPr>
      <w:r>
        <w:rPr>
          <w:rFonts w:ascii="方正黑体_GBK" w:eastAsia="方正黑体_GBK" w:hAnsi="方正黑体_GBK" w:cs="方正黑体_GBK" w:hint="eastAsia"/>
          <w:color w:val="000000"/>
          <w:sz w:val="32"/>
          <w:szCs w:val="32"/>
          <w:highlight w:val="none"/>
          <w:shd w:val="clear" w:color="auto" w:fill="FFFFFF"/>
        </w:rPr>
        <w:t>七、联系方式</w:t>
      </w: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rPr>
          <w:rFonts w:ascii="方正楷体_GBK" w:eastAsia="方正楷体_GBK" w:hAnsi="宋体" w:cs="宋体"/>
          <w:color w:val="000000"/>
          <w:kern w:val="2"/>
          <w:sz w:val="32"/>
          <w:szCs w:val="32"/>
          <w:highlight w:val="none"/>
        </w:rPr>
      </w:pPr>
      <w:r>
        <w:rPr>
          <w:rFonts w:ascii="方正楷体_GBK" w:eastAsia="方正楷体_GBK" w:hAnsi="宋体" w:cs="宋体" w:hint="eastAsia"/>
          <w:color w:val="000000"/>
          <w:kern w:val="2"/>
          <w:sz w:val="32"/>
          <w:szCs w:val="32"/>
          <w:highlight w:val="none"/>
        </w:rPr>
        <w:t>（一）团省委</w:t>
      </w:r>
    </w:p>
    <w:p>
      <w:pPr>
        <w:pStyle w:val="1"/>
        <w:tabs>
          <w:tab w:val="left" w:pos="986"/>
        </w:tabs>
        <w:adjustRightInd w:val="0"/>
        <w:snapToGrid w:val="0"/>
        <w:spacing w:line="560" w:lineRule="exact"/>
        <w:ind w:firstLine="640" w:firstLineChars="0"/>
        <w:rPr>
          <w:rFonts w:ascii="方正仿宋_GBK" w:eastAsia="方正仿宋_GBK" w:hAnsi="方正仿宋_GBK" w:cs="方正仿宋_GBK"/>
          <w:color w:val="000000"/>
          <w:kern w:val="0"/>
          <w:sz w:val="32"/>
          <w:szCs w:val="32"/>
          <w:highlight w:val="none"/>
        </w:rPr>
      </w:pPr>
      <w:r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  <w:highlight w:val="none"/>
        </w:rPr>
        <w:t>联 系 人：潘麒羽</w:t>
      </w:r>
    </w:p>
    <w:p>
      <w:pPr>
        <w:widowControl/>
        <w:adjustRightInd w:val="0"/>
        <w:snapToGrid w:val="0"/>
        <w:spacing w:line="560" w:lineRule="exact"/>
        <w:ind w:firstLine="640" w:firstLineChars="200"/>
        <w:rPr>
          <w:rFonts w:ascii="方正仿宋_GBK" w:eastAsia="方正仿宋_GBK" w:hAnsi="方正仿宋_GBK" w:cs="方正仿宋_GBK"/>
          <w:kern w:val="0"/>
          <w:sz w:val="32"/>
          <w:szCs w:val="32"/>
          <w:highlight w:val="none"/>
        </w:rPr>
      </w:pPr>
      <w:r>
        <w:rPr>
          <w:rFonts w:ascii="方正仿宋_GBK" w:eastAsia="方正仿宋_GBK" w:hAnsi="方正仿宋_GBK" w:cs="方正仿宋_GBK" w:hint="eastAsia"/>
          <w:kern w:val="0"/>
          <w:sz w:val="32"/>
          <w:szCs w:val="32"/>
          <w:highlight w:val="none"/>
        </w:rPr>
        <w:t>联系电话：020-87185614</w:t>
      </w:r>
    </w:p>
    <w:p>
      <w:pPr>
        <w:widowControl/>
        <w:adjustRightInd w:val="0"/>
        <w:snapToGrid w:val="0"/>
        <w:spacing w:line="560" w:lineRule="exact"/>
        <w:ind w:firstLine="640" w:firstLineChars="200"/>
        <w:rPr>
          <w:highlight w:val="none"/>
        </w:rPr>
      </w:pPr>
      <w:r>
        <w:rPr>
          <w:rFonts w:ascii="方正仿宋_GBK" w:eastAsia="方正仿宋_GBK" w:hAnsi="方正仿宋_GBK" w:cs="方正仿宋_GBK" w:hint="eastAsia"/>
          <w:kern w:val="0"/>
          <w:sz w:val="32"/>
          <w:szCs w:val="32"/>
          <w:highlight w:val="none"/>
        </w:rPr>
        <w:t>电子邮箱：tsw_xxb@gd.gov.cn</w:t>
      </w: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rPr>
          <w:rFonts w:ascii="方正楷体_GBK" w:eastAsia="方正楷体_GBK" w:hAnsi="宋体" w:cs="宋体"/>
          <w:color w:val="000000"/>
          <w:kern w:val="2"/>
          <w:sz w:val="32"/>
          <w:szCs w:val="32"/>
          <w:highlight w:val="none"/>
        </w:rPr>
      </w:pPr>
      <w:r>
        <w:rPr>
          <w:rFonts w:ascii="方正楷体_GBK" w:eastAsia="方正楷体_GBK" w:hAnsi="宋体" w:cs="宋体" w:hint="eastAsia"/>
          <w:color w:val="000000"/>
          <w:kern w:val="2"/>
          <w:sz w:val="32"/>
          <w:szCs w:val="32"/>
          <w:highlight w:val="none"/>
        </w:rPr>
        <w:t>（二）深圳职业技术学院</w:t>
      </w:r>
    </w:p>
    <w:p>
      <w:pPr>
        <w:pStyle w:val="1"/>
        <w:tabs>
          <w:tab w:val="left" w:pos="986"/>
        </w:tabs>
        <w:adjustRightInd w:val="0"/>
        <w:snapToGrid w:val="0"/>
        <w:spacing w:line="560" w:lineRule="exact"/>
        <w:ind w:firstLine="640"/>
        <w:rPr>
          <w:rFonts w:ascii="方正仿宋_GBK" w:eastAsia="方正仿宋_GBK" w:hAnsi="方正仿宋_GBK" w:cs="方正仿宋_GBK"/>
          <w:color w:val="000000"/>
          <w:kern w:val="0"/>
          <w:sz w:val="32"/>
          <w:szCs w:val="32"/>
          <w:highlight w:val="none"/>
        </w:rPr>
      </w:pPr>
      <w:r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  <w:highlight w:val="none"/>
        </w:rPr>
        <w:t>联 系 人：陈薇</w:t>
      </w:r>
    </w:p>
    <w:p>
      <w:pPr>
        <w:adjustRightInd w:val="0"/>
        <w:snapToGrid w:val="0"/>
        <w:spacing w:line="560" w:lineRule="exact"/>
        <w:ind w:firstLine="640" w:firstLineChars="200"/>
        <w:rPr>
          <w:rFonts w:ascii="方正仿宋_GBK" w:eastAsia="方正仿宋_GBK" w:hAnsi="方正仿宋_GBK" w:cs="方正仿宋_GBK"/>
          <w:color w:val="000000"/>
          <w:kern w:val="0"/>
          <w:sz w:val="32"/>
          <w:szCs w:val="32"/>
          <w:highlight w:val="none"/>
        </w:rPr>
      </w:pPr>
      <w:r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  <w:highlight w:val="none"/>
        </w:rPr>
        <w:t>联系电话：0</w:t>
      </w:r>
      <w:r>
        <w:rPr>
          <w:rFonts w:ascii="方正仿宋_GBK" w:eastAsia="方正仿宋_GBK" w:hAnsi="方正仿宋_GBK" w:cs="方正仿宋_GBK"/>
          <w:color w:val="000000"/>
          <w:kern w:val="0"/>
          <w:sz w:val="32"/>
          <w:szCs w:val="32"/>
          <w:highlight w:val="none"/>
        </w:rPr>
        <w:t>755</w:t>
      </w:r>
      <w:r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  <w:highlight w:val="none"/>
        </w:rPr>
        <w:t>-</w:t>
      </w:r>
      <w:r>
        <w:rPr>
          <w:rFonts w:ascii="方正仿宋_GBK" w:eastAsia="方正仿宋_GBK" w:hAnsi="方正仿宋_GBK" w:cs="方正仿宋_GBK"/>
          <w:color w:val="000000"/>
          <w:kern w:val="0"/>
          <w:sz w:val="32"/>
          <w:szCs w:val="32"/>
          <w:highlight w:val="none"/>
        </w:rPr>
        <w:t>26731061</w:t>
      </w:r>
    </w:p>
    <w:p>
      <w:pPr>
        <w:adjustRightInd w:val="0"/>
        <w:snapToGrid w:val="0"/>
        <w:spacing w:line="560" w:lineRule="exact"/>
        <w:ind w:firstLine="640" w:firstLineChars="200"/>
        <w:rPr>
          <w:rFonts w:ascii="方正仿宋_GBK" w:eastAsia="方正仿宋_GBK" w:hAnsi="方正仿宋_GBK" w:cs="方正仿宋_GBK"/>
          <w:color w:val="000000"/>
          <w:kern w:val="0"/>
          <w:sz w:val="32"/>
          <w:szCs w:val="32"/>
          <w:highlight w:val="none"/>
        </w:rPr>
      </w:pPr>
      <w:r>
        <w:rPr>
          <w:rFonts w:ascii="方正仿宋_GBK" w:eastAsia="方正仿宋_GBK" w:hAnsi="方正仿宋_GBK" w:cs="方正仿宋_GBK" w:hint="eastAsia"/>
          <w:kern w:val="0"/>
          <w:sz w:val="32"/>
          <w:szCs w:val="32"/>
          <w:highlight w:val="none"/>
        </w:rPr>
        <w:t>电子邮箱：</w:t>
      </w:r>
      <w:r>
        <w:rPr>
          <w:rFonts w:ascii="方正仿宋_GBK" w:eastAsia="方正仿宋_GBK" w:hAnsi="方正仿宋_GBK" w:cs="方正仿宋_GBK"/>
          <w:kern w:val="0"/>
          <w:sz w:val="32"/>
          <w:szCs w:val="32"/>
          <w:highlight w:val="none"/>
        </w:rPr>
        <w:t>chenwei@szpt.edu.cn</w:t>
      </w:r>
    </w:p>
    <w:p>
      <w:pPr>
        <w:adjustRightInd w:val="0"/>
        <w:snapToGrid w:val="0"/>
        <w:spacing w:line="560" w:lineRule="exact"/>
        <w:ind w:firstLine="640" w:firstLineChars="200"/>
        <w:rPr>
          <w:rFonts w:ascii="方正仿宋_GBK" w:eastAsia="方正仿宋_GBK" w:hAnsi="方正仿宋_GBK" w:cs="方正仿宋_GBK"/>
          <w:color w:val="000000"/>
          <w:sz w:val="32"/>
          <w:szCs w:val="32"/>
          <w:highlight w:val="none"/>
          <w:shd w:val="clear" w:color="auto" w:fill="FFFFFF"/>
        </w:rPr>
      </w:pPr>
      <w:r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  <w:highlight w:val="none"/>
        </w:rPr>
        <w:t>联系地址：深圳市南山区留仙大道7</w:t>
      </w:r>
      <w:r>
        <w:rPr>
          <w:rFonts w:ascii="方正仿宋_GBK" w:eastAsia="方正仿宋_GBK" w:hAnsi="方正仿宋_GBK" w:cs="方正仿宋_GBK"/>
          <w:color w:val="000000"/>
          <w:kern w:val="0"/>
          <w:sz w:val="32"/>
          <w:szCs w:val="32"/>
          <w:highlight w:val="none"/>
        </w:rPr>
        <w:t>098</w:t>
      </w:r>
      <w:r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  <w:highlight w:val="none"/>
        </w:rPr>
        <w:t>号</w:t>
      </w:r>
    </w:p>
    <w:p>
      <w:pPr>
        <w:pStyle w:val="NormalWeb"/>
        <w:shd w:val="clear" w:color="auto" w:fill="FFFFFF"/>
        <w:spacing w:beforeAutospacing="0" w:afterAutospacing="0" w:line="560" w:lineRule="exact"/>
        <w:ind w:firstLine="640" w:firstLineChars="200"/>
        <w:rPr>
          <w:rFonts w:ascii="方正楷体_GBK" w:eastAsia="方正楷体_GBK" w:hAnsi="宋体" w:cs="宋体"/>
          <w:color w:val="000000"/>
          <w:kern w:val="2"/>
          <w:sz w:val="32"/>
          <w:szCs w:val="32"/>
          <w:highlight w:val="none"/>
        </w:rPr>
      </w:pPr>
      <w:r>
        <w:rPr>
          <w:rFonts w:ascii="方正楷体_GBK" w:eastAsia="方正楷体_GBK" w:hAnsi="宋体" w:cs="宋体" w:hint="eastAsia"/>
          <w:color w:val="000000"/>
          <w:kern w:val="2"/>
          <w:sz w:val="32"/>
          <w:szCs w:val="32"/>
          <w:highlight w:val="none"/>
        </w:rPr>
        <w:t>（三）迷你创想（深圳）科技有限公司</w:t>
      </w:r>
    </w:p>
    <w:p>
      <w:pPr>
        <w:adjustRightInd w:val="0"/>
        <w:snapToGrid w:val="0"/>
        <w:spacing w:line="560" w:lineRule="exact"/>
        <w:ind w:firstLine="640" w:firstLineChars="200"/>
        <w:rPr>
          <w:rFonts w:ascii="方正仿宋_GBK" w:eastAsia="方正仿宋_GBK" w:hAnsi="方正仿宋_GBK" w:cs="方正仿宋_GBK"/>
          <w:color w:val="000000"/>
          <w:kern w:val="0"/>
          <w:sz w:val="32"/>
          <w:szCs w:val="32"/>
          <w:highlight w:val="none"/>
        </w:rPr>
      </w:pPr>
      <w:r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  <w:highlight w:val="none"/>
        </w:rPr>
        <w:t>联 系 人：吴国健（技术支持）</w:t>
      </w:r>
    </w:p>
    <w:p>
      <w:pPr>
        <w:adjustRightInd w:val="0"/>
        <w:snapToGrid w:val="0"/>
        <w:spacing w:line="560" w:lineRule="exact"/>
        <w:ind w:firstLine="640" w:firstLineChars="200"/>
        <w:rPr>
          <w:rFonts w:ascii="方正仿宋_GBK" w:eastAsia="方正仿宋_GBK" w:hAnsi="方正仿宋_GBK" w:cs="方正仿宋_GBK"/>
          <w:color w:val="000000"/>
          <w:kern w:val="0"/>
          <w:sz w:val="32"/>
          <w:szCs w:val="32"/>
          <w:highlight w:val="none"/>
        </w:rPr>
      </w:pPr>
      <w:r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  <w:highlight w:val="none"/>
        </w:rPr>
        <w:t>联系电话：18688850823</w:t>
      </w:r>
    </w:p>
    <w:p>
      <w:pPr>
        <w:adjustRightInd w:val="0"/>
        <w:snapToGrid w:val="0"/>
        <w:spacing w:line="560" w:lineRule="exact"/>
        <w:ind w:firstLine="640" w:firstLineChars="200"/>
        <w:rPr>
          <w:rFonts w:ascii="方正仿宋_GBK" w:eastAsia="方正仿宋_GBK" w:hAnsi="方正仿宋_GBK" w:cs="方正仿宋_GBK"/>
          <w:color w:val="C00000"/>
          <w:kern w:val="0"/>
          <w:sz w:val="32"/>
          <w:szCs w:val="32"/>
          <w:highlight w:val="none"/>
        </w:rPr>
      </w:pPr>
      <w:r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  <w:highlight w:val="none"/>
        </w:rPr>
        <w:t>本次比赛</w:t>
      </w:r>
      <w:r>
        <w:rPr>
          <w:rFonts w:ascii="方正仿宋_GBK" w:eastAsia="方正仿宋_GBK" w:hAnsi="方正仿宋_GBK" w:cs="方正仿宋_GBK" w:hint="eastAsia"/>
          <w:color w:val="000000" w:themeColor="text1"/>
          <w:sz w:val="32"/>
          <w:szCs w:val="32"/>
          <w:highlight w:val="none"/>
          <w14:textFill>
            <w14:solidFill>
              <w14:schemeClr w14:val="tx1"/>
            </w14:solidFill>
          </w14:textFill>
        </w:rPr>
        <w:t>交流</w:t>
      </w:r>
      <w:r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  <w:highlight w:val="none"/>
        </w:rPr>
        <w:t>QQ群号：</w:t>
      </w:r>
      <w:r>
        <w:rPr>
          <w:rFonts w:ascii="方正仿宋_GBK" w:eastAsia="方正仿宋_GBK" w:hAnsi="方正仿宋_GBK" w:cs="方正仿宋_GBK"/>
          <w:color w:val="000000" w:themeColor="text1"/>
          <w:sz w:val="32"/>
          <w:szCs w:val="32"/>
          <w:highlight w:val="none"/>
          <w14:textFill>
            <w14:solidFill>
              <w14:schemeClr w14:val="tx1"/>
            </w14:solidFill>
          </w14:textFill>
        </w:rPr>
        <w:t>673014907</w:t>
      </w:r>
      <w:r>
        <w:rPr>
          <w:rFonts w:ascii="方正仿宋_GBK" w:eastAsia="方正仿宋_GBK" w:hAnsi="方正仿宋_GBK" w:cs="方正仿宋_GBK" w:hint="eastAsia"/>
          <w:color w:val="000000"/>
          <w:kern w:val="0"/>
          <w:sz w:val="32"/>
          <w:szCs w:val="32"/>
          <w:highlight w:val="none"/>
        </w:rPr>
        <w:t>（每支队伍仅限1名负责人加入）。</w:t>
      </w:r>
    </w:p>
    <w:p>
      <w:pPr>
        <w:spacing w:line="560" w:lineRule="exact"/>
        <w:ind w:firstLine="640" w:firstLineChars="200"/>
        <w:rPr>
          <w:rFonts w:ascii="方正仿宋_GBK" w:eastAsia="方正仿宋_GBK" w:hAnsi="方正仿宋_GBK" w:cs="方正仿宋_GBK"/>
          <w:sz w:val="32"/>
          <w:szCs w:val="32"/>
          <w:highlight w:val="none"/>
        </w:rPr>
      </w:pPr>
    </w:p>
    <w:p>
      <w:pPr>
        <w:spacing w:line="560" w:lineRule="exact"/>
        <w:ind w:firstLine="640" w:firstLineChars="200"/>
        <w:rPr>
          <w:rFonts w:ascii="方正仿宋_GBK" w:eastAsia="方正仿宋_GBK" w:hAnsi="方正仿宋_GBK" w:cs="方正仿宋_GBK"/>
          <w:sz w:val="32"/>
          <w:szCs w:val="32"/>
        </w:rPr>
      </w:pPr>
    </w:p>
    <w:tbl>
      <w:tblPr>
        <w:tblStyle w:val="TableGrid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31"/>
        <w:gridCol w:w="5491"/>
      </w:tblGrid>
      <w:tr>
        <w:tblPrEx>
          <w:tblW w:w="0" w:type="auto"/>
          <w:tblInd w:w="0" w:type="dxa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031" w:type="dxa"/>
          </w:tcPr>
          <w:p>
            <w:pPr>
              <w:spacing w:line="560" w:lineRule="exact"/>
              <w:jc w:val="right"/>
              <w:rPr>
                <w:rFonts w:ascii="方正仿宋_GBK" w:eastAsia="方正仿宋_GBK" w:hAnsi="方正仿宋_GBK" w:cs="方正仿宋_GBK"/>
                <w:color w:val="000000"/>
                <w:sz w:val="32"/>
                <w:szCs w:val="32"/>
                <w:shd w:val="clear" w:color="auto" w:fill="FFFFFF"/>
              </w:rPr>
            </w:pPr>
          </w:p>
        </w:tc>
        <w:tc>
          <w:tcPr>
            <w:tcW w:w="5491" w:type="dxa"/>
          </w:tcPr>
          <w:p>
            <w:pPr>
              <w:spacing w:line="560" w:lineRule="exact"/>
              <w:jc w:val="center"/>
              <w:rPr>
                <w:rFonts w:ascii="方正仿宋_GBK" w:eastAsia="方正仿宋_GBK" w:hAnsi="方正仿宋_GBK" w:cs="方正仿宋_GBK"/>
                <w:color w:val="000000"/>
                <w:sz w:val="32"/>
                <w:szCs w:val="32"/>
                <w:shd w:val="clear" w:color="auto" w:fill="FFFFFF"/>
              </w:rPr>
            </w:pPr>
            <w:r>
              <w:rPr>
                <w:rFonts w:ascii="方正仿宋_GBK" w:eastAsia="方正仿宋_GBK" w:hAnsi="方正仿宋_GBK" w:cs="方正仿宋_GBK" w:hint="eastAsia"/>
                <w:color w:val="000000"/>
                <w:sz w:val="32"/>
                <w:szCs w:val="32"/>
                <w:shd w:val="clear" w:color="auto" w:fill="FFFFFF"/>
              </w:rPr>
              <w:t>第十五届广东大学生科技学术季活动</w:t>
            </w:r>
          </w:p>
        </w:tc>
      </w:tr>
      <w:tr>
        <w:tblPrEx>
          <w:tblW w:w="0" w:type="auto"/>
          <w:tblInd w:w="0" w:type="dxa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031" w:type="dxa"/>
          </w:tcPr>
          <w:p>
            <w:pPr>
              <w:spacing w:line="560" w:lineRule="exact"/>
              <w:jc w:val="right"/>
              <w:rPr>
                <w:rFonts w:ascii="方正仿宋_GBK" w:eastAsia="方正仿宋_GBK" w:hAnsi="方正仿宋_GBK" w:cs="方正仿宋_GBK"/>
                <w:color w:val="000000"/>
                <w:sz w:val="32"/>
                <w:szCs w:val="32"/>
                <w:shd w:val="clear" w:color="auto" w:fill="FFFFFF"/>
              </w:rPr>
            </w:pPr>
          </w:p>
        </w:tc>
        <w:tc>
          <w:tcPr>
            <w:tcW w:w="5491" w:type="dxa"/>
          </w:tcPr>
          <w:p>
            <w:pPr>
              <w:spacing w:line="560" w:lineRule="exact"/>
              <w:jc w:val="center"/>
              <w:rPr>
                <w:rFonts w:ascii="方正仿宋_GBK" w:eastAsia="方正仿宋_GBK" w:hAnsi="方正仿宋_GBK" w:cs="方正仿宋_GBK"/>
                <w:color w:val="000000"/>
                <w:sz w:val="32"/>
                <w:szCs w:val="32"/>
                <w:shd w:val="clear" w:color="auto" w:fill="FFFFFF"/>
              </w:rPr>
            </w:pPr>
            <w:r>
              <w:rPr>
                <w:rFonts w:ascii="方正仿宋_GBK" w:eastAsia="方正仿宋_GBK" w:hAnsi="方正仿宋_GBK" w:cs="方正仿宋_GBK" w:hint="eastAsia"/>
                <w:color w:val="000000"/>
                <w:sz w:val="32"/>
                <w:szCs w:val="32"/>
                <w:shd w:val="clear" w:color="auto" w:fill="FFFFFF"/>
              </w:rPr>
              <w:t>组委会办公室</w:t>
            </w:r>
          </w:p>
        </w:tc>
      </w:tr>
      <w:tr>
        <w:tblPrEx>
          <w:tblW w:w="0" w:type="auto"/>
          <w:tblInd w:w="0" w:type="dxa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031" w:type="dxa"/>
          </w:tcPr>
          <w:p>
            <w:pPr>
              <w:spacing w:line="560" w:lineRule="exact"/>
              <w:jc w:val="right"/>
              <w:rPr>
                <w:rFonts w:ascii="方正仿宋_GBK" w:eastAsia="方正仿宋_GBK" w:hAnsi="方正仿宋_GBK" w:cs="方正仿宋_GBK"/>
                <w:color w:val="000000"/>
                <w:sz w:val="32"/>
                <w:szCs w:val="32"/>
                <w:shd w:val="clear" w:color="auto" w:fill="FFFFFF"/>
              </w:rPr>
            </w:pPr>
          </w:p>
        </w:tc>
        <w:tc>
          <w:tcPr>
            <w:tcW w:w="5491" w:type="dxa"/>
          </w:tcPr>
          <w:p>
            <w:pPr>
              <w:spacing w:line="560" w:lineRule="exact"/>
              <w:jc w:val="center"/>
              <w:rPr>
                <w:rFonts w:ascii="方正仿宋_GBK" w:eastAsia="方正仿宋_GBK" w:hAnsi="方正仿宋_GBK" w:cs="方正仿宋_GBK"/>
                <w:color w:val="000000"/>
                <w:sz w:val="32"/>
                <w:szCs w:val="32"/>
                <w:shd w:val="clear" w:color="auto" w:fill="FFFFFF"/>
              </w:rPr>
            </w:pPr>
            <w:r>
              <w:rPr>
                <w:rFonts w:ascii="方正仿宋_GBK" w:eastAsia="方正仿宋_GBK" w:hAnsi="方正仿宋_GBK" w:cs="方正仿宋_GBK" w:hint="eastAsia"/>
                <w:color w:val="000000"/>
                <w:sz w:val="32"/>
                <w:szCs w:val="32"/>
                <w:shd w:val="clear" w:color="auto" w:fill="FFFFFF"/>
              </w:rPr>
              <w:t>20</w:t>
            </w:r>
            <w:r>
              <w:rPr>
                <w:rFonts w:ascii="方正仿宋_GBK" w:eastAsia="方正仿宋_GBK" w:hAnsi="方正仿宋_GBK" w:cs="方正仿宋_GBK" w:hint="eastAsia"/>
                <w:sz w:val="32"/>
                <w:szCs w:val="32"/>
                <w:shd w:val="clear" w:color="auto" w:fill="FFFFFF"/>
              </w:rPr>
              <w:t>2</w:t>
            </w:r>
            <w:r>
              <w:rPr>
                <w:rFonts w:ascii="方正仿宋_GBK" w:eastAsia="方正仿宋_GBK" w:hAnsi="方正仿宋_GBK" w:cs="方正仿宋_GBK"/>
                <w:sz w:val="32"/>
                <w:szCs w:val="32"/>
                <w:shd w:val="clear" w:color="auto" w:fill="FFFFFF"/>
              </w:rPr>
              <w:t>2</w:t>
            </w:r>
            <w:r>
              <w:rPr>
                <w:rFonts w:ascii="方正仿宋_GBK" w:eastAsia="方正仿宋_GBK" w:hAnsi="方正仿宋_GBK" w:cs="方正仿宋_GBK" w:hint="eastAsia"/>
                <w:sz w:val="32"/>
                <w:szCs w:val="32"/>
                <w:shd w:val="clear" w:color="auto" w:fill="FFFFFF"/>
              </w:rPr>
              <w:t>年</w:t>
            </w:r>
            <w:r>
              <w:rPr>
                <w:rFonts w:ascii="方正仿宋_GBK" w:eastAsia="方正仿宋_GBK" w:hAnsi="方正仿宋_GBK" w:cs="方正仿宋_GBK"/>
                <w:sz w:val="32"/>
                <w:szCs w:val="32"/>
                <w:shd w:val="clear" w:color="auto" w:fill="FFFFFF"/>
              </w:rPr>
              <w:t>3</w:t>
            </w:r>
            <w:r>
              <w:rPr>
                <w:rFonts w:ascii="方正仿宋_GBK" w:eastAsia="方正仿宋_GBK" w:hAnsi="方正仿宋_GBK" w:cs="方正仿宋_GBK" w:hint="eastAsia"/>
                <w:sz w:val="32"/>
                <w:szCs w:val="32"/>
                <w:shd w:val="clear" w:color="auto" w:fill="FFFFFF"/>
              </w:rPr>
              <w:t>月31日</w:t>
            </w:r>
          </w:p>
        </w:tc>
      </w:tr>
    </w:tbl>
    <w:p>
      <w:pPr>
        <w:spacing w:line="560" w:lineRule="exact"/>
        <w:ind w:firstLine="615"/>
        <w:jc w:val="right"/>
        <w:rPr>
          <w:rFonts w:ascii="方正仿宋_GBK" w:eastAsia="方正仿宋_GBK" w:hAnsi="方正仿宋_GBK" w:cs="方正仿宋_GBK"/>
          <w:color w:val="000000"/>
          <w:sz w:val="32"/>
          <w:szCs w:val="32"/>
          <w:shd w:val="clear" w:color="auto" w:fill="FFFFFF"/>
        </w:rPr>
      </w:pPr>
    </w:p>
    <w:p>
      <w:pPr>
        <w:wordWrap w:val="0"/>
        <w:spacing w:line="560" w:lineRule="exact"/>
        <w:ind w:firstLine="615"/>
        <w:jc w:val="right"/>
        <w:rPr>
          <w:rFonts w:ascii="方正仿宋_GBK" w:eastAsia="方正仿宋_GBK" w:hAnsi="方正仿宋_GBK" w:cs="方正仿宋_GBK"/>
          <w:sz w:val="32"/>
          <w:szCs w:val="32"/>
        </w:rPr>
      </w:pPr>
      <w:r>
        <w:rPr>
          <w:rFonts w:ascii="方正仿宋_GBK" w:eastAsia="方正仿宋_GBK" w:hAnsi="方正仿宋_GBK" w:cs="方正仿宋_GBK" w:hint="eastAsia"/>
          <w:sz w:val="32"/>
          <w:szCs w:val="32"/>
          <w:shd w:val="clear" w:color="auto" w:fill="FFFFFF"/>
        </w:rPr>
        <w:t xml:space="preserve">             </w:t>
      </w:r>
    </w:p>
    <w:sectPr>
      <w:footerReference w:type="default" r:id="rId5"/>
      <w:pgSz w:w="11906" w:h="16838"/>
      <w:pgMar w:top="1440" w:right="1800" w:bottom="1440" w:left="1800" w:header="851" w:footer="992" w:gutter="0"/>
      <w:pgNumType w:fmt="numberInDash"/>
      <w:cols w:num="1" w:space="72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1" w:subsetted="1" w:fontKey="{5DD435F5-07E0-495A-8EBB-8E4AC9D8856A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2" w:fontKey="{9EB946CF-3BD6-4A8F-A46F-B299D66E64BF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方正楷体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3" w:fontKey="{4D511483-092B-44EE-B54B-CC8D9DC25FB3}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  <w:embedRegular r:id="rId4" w:fontKey="{C1AFB0FC-475F-445D-9AC8-66A68BF09122}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5" w:fontKey="{3B7C7FB7-2DC1-4F8D-92AE-AB78E6947629}"/>
  </w:font>
  <w:font w:name="方正黑体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6" w:fontKey="{0E74B3CF-5A19-4DFD-9EF6-E038D42C7CEC}"/>
  </w:font>
  <w:font w:name="Times New Roman Regular">
    <w:altName w:val="Times New Roman"/>
    <w:panose1 w:val="00000000000000000000"/>
    <w:charset w:val="00"/>
    <w:family w:val="auto"/>
    <w:pitch w:val="default"/>
    <w:sig w:usb0="00000000" w:usb1="00000000" w:usb2="00000001" w:usb3="00000000" w:csb0="400001BF" w:csb1="DFF70000"/>
    <w:embedRegular r:id="rId7" w:fontKey="{27BDA2E1-0B01-4787-AE27-36406EFF2278}"/>
  </w:font>
  <w:font w:name="等线 Light"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Footer"/>
    </w:pPr>
    <w: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711835" cy="263525"/>
              <wp:effectExtent l="0" t="0" r="0" b="0"/>
              <wp:wrapNone/>
              <wp:docPr id="4097" name="矩形 4097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/>
                    <wps:spPr>
                      <a:xfrm>
                        <a:off x="0" y="0"/>
                        <a:ext cx="711835" cy="2635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pStyle w:val="Footer"/>
                            <w:rPr>
                              <w:rFonts w:ascii="宋体" w:hAnsi="宋体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宋体" w:hAnsi="宋体" w:hint="eastAsia"/>
                              <w:sz w:val="32"/>
                              <w:szCs w:val="32"/>
                            </w:rPr>
                            <w:fldChar w:fldCharType="begin"/>
                          </w:r>
                          <w:r>
                            <w:rPr>
                              <w:rFonts w:ascii="宋体" w:hAnsi="宋体" w:hint="eastAsia"/>
                              <w:sz w:val="32"/>
                              <w:szCs w:val="32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ascii="宋体" w:hAnsi="宋体" w:hint="eastAsia"/>
                              <w:sz w:val="32"/>
                              <w:szCs w:val="32"/>
                            </w:rPr>
                            <w:fldChar w:fldCharType="separate"/>
                          </w:r>
                          <w:r>
                            <w:rPr>
                              <w:rFonts w:ascii="宋体" w:hAnsi="宋体"/>
                              <w:sz w:val="32"/>
                              <w:szCs w:val="32"/>
                            </w:rPr>
                            <w:t>- 4 -</w:t>
                          </w:r>
                          <w:r>
                            <w:rPr>
                              <w:rFonts w:ascii="宋体" w:hAnsi="宋体" w:hint="eastAsia"/>
                              <w:sz w:val="32"/>
                              <w:szCs w:val="32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o:spid="_x0000_s2049" style="width:56.05pt;height:20.75pt;margin-top:0;margin-left:0;mso-height-relative:page;mso-position-horizontal:outside;mso-position-horizontal-relative:margin;mso-width-relative:page;mso-wrap-style:none;position:absolute;z-index:251659264" coordsize="21600,21600" filled="f" stroked="f">
              <o:lock v:ext="edit" aspectratio="f"/>
              <v:textbox style="mso-fit-shape-to-text:t" inset="0,0,0,0">
                <w:txbxContent>
                  <w:p>
                    <w:pPr>
                      <w:pStyle w:val="Footer"/>
                      <w:rPr>
                        <w:rFonts w:ascii="宋体" w:hAnsi="宋体"/>
                        <w:sz w:val="32"/>
                        <w:szCs w:val="32"/>
                      </w:rPr>
                    </w:pPr>
                    <w:r>
                      <w:rPr>
                        <w:rFonts w:ascii="宋体" w:hAnsi="宋体" w:hint="eastAsia"/>
                        <w:sz w:val="32"/>
                        <w:szCs w:val="32"/>
                      </w:rPr>
                      <w:fldChar w:fldCharType="begin"/>
                    </w:r>
                    <w:r>
                      <w:rPr>
                        <w:rFonts w:ascii="宋体" w:hAnsi="宋体" w:hint="eastAsia"/>
                        <w:sz w:val="32"/>
                        <w:szCs w:val="32"/>
                      </w:rPr>
                      <w:instrText xml:space="preserve"> PAGE  \* MERGEFORMAT </w:instrText>
                    </w:r>
                    <w:r>
                      <w:rPr>
                        <w:rFonts w:ascii="宋体" w:hAnsi="宋体" w:hint="eastAsia"/>
                        <w:sz w:val="32"/>
                        <w:szCs w:val="32"/>
                      </w:rPr>
                      <w:fldChar w:fldCharType="separate"/>
                    </w:r>
                    <w:r>
                      <w:rPr>
                        <w:rFonts w:ascii="宋体" w:hAnsi="宋体"/>
                        <w:sz w:val="32"/>
                        <w:szCs w:val="32"/>
                      </w:rPr>
                      <w:t>- 4 -</w:t>
                    </w:r>
                    <w:r>
                      <w:rPr>
                        <w:rFonts w:ascii="宋体" w:hAnsi="宋体" w:hint="eastAsia"/>
                        <w:sz w:val="32"/>
                        <w:szCs w:val="32"/>
                      </w:rPr>
                      <w:fldChar w:fldCharType="end"/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trackRevisions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4C52"/>
    <w:rsid w:val="000154D3"/>
    <w:rsid w:val="000173EB"/>
    <w:rsid w:val="00037A53"/>
    <w:rsid w:val="00037D46"/>
    <w:rsid w:val="00041147"/>
    <w:rsid w:val="0004343D"/>
    <w:rsid w:val="00043823"/>
    <w:rsid w:val="00057BD4"/>
    <w:rsid w:val="00061743"/>
    <w:rsid w:val="0007180A"/>
    <w:rsid w:val="00092367"/>
    <w:rsid w:val="00092D7E"/>
    <w:rsid w:val="00096EDD"/>
    <w:rsid w:val="000A09F1"/>
    <w:rsid w:val="000A10FC"/>
    <w:rsid w:val="000A783C"/>
    <w:rsid w:val="000B179D"/>
    <w:rsid w:val="000B7B33"/>
    <w:rsid w:val="000C131C"/>
    <w:rsid w:val="000C56D3"/>
    <w:rsid w:val="000E58C0"/>
    <w:rsid w:val="000E7B65"/>
    <w:rsid w:val="000F1BD4"/>
    <w:rsid w:val="00100BF9"/>
    <w:rsid w:val="00101892"/>
    <w:rsid w:val="00122247"/>
    <w:rsid w:val="0013605A"/>
    <w:rsid w:val="00140272"/>
    <w:rsid w:val="0014071A"/>
    <w:rsid w:val="00163C9A"/>
    <w:rsid w:val="00170EB0"/>
    <w:rsid w:val="00174B37"/>
    <w:rsid w:val="00195623"/>
    <w:rsid w:val="001A35E7"/>
    <w:rsid w:val="001A486E"/>
    <w:rsid w:val="001A4881"/>
    <w:rsid w:val="001A6B20"/>
    <w:rsid w:val="001B4267"/>
    <w:rsid w:val="001B491D"/>
    <w:rsid w:val="001B7F77"/>
    <w:rsid w:val="001C1A90"/>
    <w:rsid w:val="001C267F"/>
    <w:rsid w:val="001C3243"/>
    <w:rsid w:val="001C62A8"/>
    <w:rsid w:val="001D2B65"/>
    <w:rsid w:val="001D5DB5"/>
    <w:rsid w:val="001E432D"/>
    <w:rsid w:val="001E56AF"/>
    <w:rsid w:val="001E7FC3"/>
    <w:rsid w:val="001F1166"/>
    <w:rsid w:val="001F7C82"/>
    <w:rsid w:val="0020577B"/>
    <w:rsid w:val="002112BB"/>
    <w:rsid w:val="0022127B"/>
    <w:rsid w:val="00227578"/>
    <w:rsid w:val="00232541"/>
    <w:rsid w:val="00242DDE"/>
    <w:rsid w:val="00245ED2"/>
    <w:rsid w:val="00251DD4"/>
    <w:rsid w:val="00264303"/>
    <w:rsid w:val="00275C3C"/>
    <w:rsid w:val="00280A68"/>
    <w:rsid w:val="00284376"/>
    <w:rsid w:val="002947CF"/>
    <w:rsid w:val="002A2B0F"/>
    <w:rsid w:val="002C113C"/>
    <w:rsid w:val="002C1913"/>
    <w:rsid w:val="002C4322"/>
    <w:rsid w:val="002D4147"/>
    <w:rsid w:val="002E1272"/>
    <w:rsid w:val="002F11DA"/>
    <w:rsid w:val="002F27F1"/>
    <w:rsid w:val="00300A21"/>
    <w:rsid w:val="003167F2"/>
    <w:rsid w:val="003202DA"/>
    <w:rsid w:val="00320F18"/>
    <w:rsid w:val="00326425"/>
    <w:rsid w:val="00326436"/>
    <w:rsid w:val="003403E9"/>
    <w:rsid w:val="0035272A"/>
    <w:rsid w:val="00357058"/>
    <w:rsid w:val="00363CE2"/>
    <w:rsid w:val="00365566"/>
    <w:rsid w:val="0037332B"/>
    <w:rsid w:val="003770A4"/>
    <w:rsid w:val="0039009A"/>
    <w:rsid w:val="00392825"/>
    <w:rsid w:val="003A0865"/>
    <w:rsid w:val="003A60B9"/>
    <w:rsid w:val="003B3C2B"/>
    <w:rsid w:val="003B4772"/>
    <w:rsid w:val="003B5102"/>
    <w:rsid w:val="003C6F1B"/>
    <w:rsid w:val="003D2BD2"/>
    <w:rsid w:val="003D3B52"/>
    <w:rsid w:val="003E2559"/>
    <w:rsid w:val="003E7287"/>
    <w:rsid w:val="003F5E78"/>
    <w:rsid w:val="003F6301"/>
    <w:rsid w:val="004052F3"/>
    <w:rsid w:val="00405FD6"/>
    <w:rsid w:val="00405FF1"/>
    <w:rsid w:val="00410D83"/>
    <w:rsid w:val="00415E09"/>
    <w:rsid w:val="0041783F"/>
    <w:rsid w:val="00435CFD"/>
    <w:rsid w:val="004409A3"/>
    <w:rsid w:val="00446DD2"/>
    <w:rsid w:val="00466BBF"/>
    <w:rsid w:val="00473194"/>
    <w:rsid w:val="00475696"/>
    <w:rsid w:val="00477B32"/>
    <w:rsid w:val="00485E1A"/>
    <w:rsid w:val="00486311"/>
    <w:rsid w:val="00493BDD"/>
    <w:rsid w:val="004A2000"/>
    <w:rsid w:val="004B2FB7"/>
    <w:rsid w:val="004B4192"/>
    <w:rsid w:val="004C0E2B"/>
    <w:rsid w:val="004C25C7"/>
    <w:rsid w:val="004D051E"/>
    <w:rsid w:val="004E59E3"/>
    <w:rsid w:val="004E6688"/>
    <w:rsid w:val="004F31E1"/>
    <w:rsid w:val="004F406F"/>
    <w:rsid w:val="004F68B5"/>
    <w:rsid w:val="005019A4"/>
    <w:rsid w:val="00511A30"/>
    <w:rsid w:val="00512393"/>
    <w:rsid w:val="00522913"/>
    <w:rsid w:val="00537051"/>
    <w:rsid w:val="00543FCB"/>
    <w:rsid w:val="00546D69"/>
    <w:rsid w:val="00583713"/>
    <w:rsid w:val="005872FC"/>
    <w:rsid w:val="00591AC3"/>
    <w:rsid w:val="00593961"/>
    <w:rsid w:val="005A53A1"/>
    <w:rsid w:val="005B0638"/>
    <w:rsid w:val="005B0BAB"/>
    <w:rsid w:val="005D6FE5"/>
    <w:rsid w:val="005E1E62"/>
    <w:rsid w:val="005F3070"/>
    <w:rsid w:val="005F5A9F"/>
    <w:rsid w:val="00605C54"/>
    <w:rsid w:val="00617659"/>
    <w:rsid w:val="0062206F"/>
    <w:rsid w:val="00637B37"/>
    <w:rsid w:val="00642453"/>
    <w:rsid w:val="00642FFC"/>
    <w:rsid w:val="0065184D"/>
    <w:rsid w:val="00656CEC"/>
    <w:rsid w:val="006670EE"/>
    <w:rsid w:val="00673EDF"/>
    <w:rsid w:val="00686D6F"/>
    <w:rsid w:val="006872E5"/>
    <w:rsid w:val="00691483"/>
    <w:rsid w:val="00691910"/>
    <w:rsid w:val="0069192E"/>
    <w:rsid w:val="00693A76"/>
    <w:rsid w:val="00696C23"/>
    <w:rsid w:val="006A7BED"/>
    <w:rsid w:val="006B6518"/>
    <w:rsid w:val="006C0C17"/>
    <w:rsid w:val="006D0C69"/>
    <w:rsid w:val="006D222E"/>
    <w:rsid w:val="006D3DA5"/>
    <w:rsid w:val="006D7558"/>
    <w:rsid w:val="006E0C8E"/>
    <w:rsid w:val="006E1DA8"/>
    <w:rsid w:val="006E57F6"/>
    <w:rsid w:val="006F6163"/>
    <w:rsid w:val="00713EFF"/>
    <w:rsid w:val="00715D38"/>
    <w:rsid w:val="00716CBE"/>
    <w:rsid w:val="00740F4A"/>
    <w:rsid w:val="00746224"/>
    <w:rsid w:val="00747706"/>
    <w:rsid w:val="00751C5C"/>
    <w:rsid w:val="00772996"/>
    <w:rsid w:val="00776E1A"/>
    <w:rsid w:val="00777B47"/>
    <w:rsid w:val="007805F5"/>
    <w:rsid w:val="007825F6"/>
    <w:rsid w:val="00786C61"/>
    <w:rsid w:val="00796DBA"/>
    <w:rsid w:val="007A230B"/>
    <w:rsid w:val="007A2752"/>
    <w:rsid w:val="007A71D7"/>
    <w:rsid w:val="007A765F"/>
    <w:rsid w:val="007B2335"/>
    <w:rsid w:val="007B41CD"/>
    <w:rsid w:val="007C0D60"/>
    <w:rsid w:val="007D2F7D"/>
    <w:rsid w:val="007E120A"/>
    <w:rsid w:val="007E2659"/>
    <w:rsid w:val="007E306E"/>
    <w:rsid w:val="007E73E7"/>
    <w:rsid w:val="007F2D5F"/>
    <w:rsid w:val="007F6384"/>
    <w:rsid w:val="007F68F5"/>
    <w:rsid w:val="007F6D1E"/>
    <w:rsid w:val="007F77FA"/>
    <w:rsid w:val="00800411"/>
    <w:rsid w:val="008068C8"/>
    <w:rsid w:val="008100F9"/>
    <w:rsid w:val="008275E5"/>
    <w:rsid w:val="008361B8"/>
    <w:rsid w:val="0084093D"/>
    <w:rsid w:val="00840F95"/>
    <w:rsid w:val="00850856"/>
    <w:rsid w:val="00850CE7"/>
    <w:rsid w:val="00853EC1"/>
    <w:rsid w:val="008812F7"/>
    <w:rsid w:val="00891283"/>
    <w:rsid w:val="00893FAB"/>
    <w:rsid w:val="00895D94"/>
    <w:rsid w:val="008978D6"/>
    <w:rsid w:val="008A24A1"/>
    <w:rsid w:val="008B1946"/>
    <w:rsid w:val="008B3718"/>
    <w:rsid w:val="008B4A91"/>
    <w:rsid w:val="008B4DE6"/>
    <w:rsid w:val="008C3BC3"/>
    <w:rsid w:val="008D306C"/>
    <w:rsid w:val="008D4066"/>
    <w:rsid w:val="008E003D"/>
    <w:rsid w:val="008E3A0E"/>
    <w:rsid w:val="008E6C69"/>
    <w:rsid w:val="008F0677"/>
    <w:rsid w:val="008F60F3"/>
    <w:rsid w:val="00900823"/>
    <w:rsid w:val="009056D3"/>
    <w:rsid w:val="00915853"/>
    <w:rsid w:val="009239ED"/>
    <w:rsid w:val="00945126"/>
    <w:rsid w:val="00953B6E"/>
    <w:rsid w:val="00960B34"/>
    <w:rsid w:val="00962B80"/>
    <w:rsid w:val="00965A0B"/>
    <w:rsid w:val="00967617"/>
    <w:rsid w:val="009831A2"/>
    <w:rsid w:val="0098448E"/>
    <w:rsid w:val="00992AD3"/>
    <w:rsid w:val="00997B6B"/>
    <w:rsid w:val="009A113E"/>
    <w:rsid w:val="009A1B8F"/>
    <w:rsid w:val="009A33D4"/>
    <w:rsid w:val="009A5F96"/>
    <w:rsid w:val="009B4266"/>
    <w:rsid w:val="009C3C47"/>
    <w:rsid w:val="009D01F6"/>
    <w:rsid w:val="009D4E2B"/>
    <w:rsid w:val="009E4488"/>
    <w:rsid w:val="009E5EF6"/>
    <w:rsid w:val="009F22E1"/>
    <w:rsid w:val="00A0061B"/>
    <w:rsid w:val="00A00672"/>
    <w:rsid w:val="00A00EBA"/>
    <w:rsid w:val="00A22370"/>
    <w:rsid w:val="00A30D93"/>
    <w:rsid w:val="00A32242"/>
    <w:rsid w:val="00A34B97"/>
    <w:rsid w:val="00A42BD0"/>
    <w:rsid w:val="00A42CF7"/>
    <w:rsid w:val="00A4331C"/>
    <w:rsid w:val="00A53C94"/>
    <w:rsid w:val="00A72D4E"/>
    <w:rsid w:val="00A73F97"/>
    <w:rsid w:val="00A819B0"/>
    <w:rsid w:val="00A835F5"/>
    <w:rsid w:val="00A87201"/>
    <w:rsid w:val="00A87B85"/>
    <w:rsid w:val="00A93ACB"/>
    <w:rsid w:val="00AA44C5"/>
    <w:rsid w:val="00AA6199"/>
    <w:rsid w:val="00AB2C4C"/>
    <w:rsid w:val="00AB3BC1"/>
    <w:rsid w:val="00AB6238"/>
    <w:rsid w:val="00AB6475"/>
    <w:rsid w:val="00AE3409"/>
    <w:rsid w:val="00AE65A0"/>
    <w:rsid w:val="00AF395A"/>
    <w:rsid w:val="00B01FCF"/>
    <w:rsid w:val="00B046B6"/>
    <w:rsid w:val="00B07481"/>
    <w:rsid w:val="00B108EF"/>
    <w:rsid w:val="00B130E1"/>
    <w:rsid w:val="00B22090"/>
    <w:rsid w:val="00B23B22"/>
    <w:rsid w:val="00B46DC8"/>
    <w:rsid w:val="00B5747C"/>
    <w:rsid w:val="00B60745"/>
    <w:rsid w:val="00B63C64"/>
    <w:rsid w:val="00B949F0"/>
    <w:rsid w:val="00B94E14"/>
    <w:rsid w:val="00B96373"/>
    <w:rsid w:val="00B969B3"/>
    <w:rsid w:val="00BA701F"/>
    <w:rsid w:val="00BB2B78"/>
    <w:rsid w:val="00BC2275"/>
    <w:rsid w:val="00BC2547"/>
    <w:rsid w:val="00BC39AB"/>
    <w:rsid w:val="00BC57BD"/>
    <w:rsid w:val="00BD7EC7"/>
    <w:rsid w:val="00BE613F"/>
    <w:rsid w:val="00BE7889"/>
    <w:rsid w:val="00BF025D"/>
    <w:rsid w:val="00BF2C1D"/>
    <w:rsid w:val="00BF4E54"/>
    <w:rsid w:val="00C01FAD"/>
    <w:rsid w:val="00C21151"/>
    <w:rsid w:val="00C2495B"/>
    <w:rsid w:val="00C25DEA"/>
    <w:rsid w:val="00C37E89"/>
    <w:rsid w:val="00C43FB0"/>
    <w:rsid w:val="00C45E2A"/>
    <w:rsid w:val="00C471A1"/>
    <w:rsid w:val="00C52C6A"/>
    <w:rsid w:val="00C558A2"/>
    <w:rsid w:val="00C608EA"/>
    <w:rsid w:val="00C65546"/>
    <w:rsid w:val="00C6595A"/>
    <w:rsid w:val="00C94DE0"/>
    <w:rsid w:val="00CA1103"/>
    <w:rsid w:val="00CA5765"/>
    <w:rsid w:val="00CA7FB1"/>
    <w:rsid w:val="00CB2C18"/>
    <w:rsid w:val="00CB5E46"/>
    <w:rsid w:val="00D24F7B"/>
    <w:rsid w:val="00D35702"/>
    <w:rsid w:val="00D44887"/>
    <w:rsid w:val="00D45887"/>
    <w:rsid w:val="00D47089"/>
    <w:rsid w:val="00D6075A"/>
    <w:rsid w:val="00D6672B"/>
    <w:rsid w:val="00D72F60"/>
    <w:rsid w:val="00D765DF"/>
    <w:rsid w:val="00D843C1"/>
    <w:rsid w:val="00D916B7"/>
    <w:rsid w:val="00D92043"/>
    <w:rsid w:val="00D96661"/>
    <w:rsid w:val="00DA4C52"/>
    <w:rsid w:val="00DA6EEA"/>
    <w:rsid w:val="00DB136E"/>
    <w:rsid w:val="00DB30B7"/>
    <w:rsid w:val="00DB7687"/>
    <w:rsid w:val="00DC3B88"/>
    <w:rsid w:val="00DE52F9"/>
    <w:rsid w:val="00DF0758"/>
    <w:rsid w:val="00DF1895"/>
    <w:rsid w:val="00DF4AD0"/>
    <w:rsid w:val="00E05D0B"/>
    <w:rsid w:val="00E1279C"/>
    <w:rsid w:val="00E14FD3"/>
    <w:rsid w:val="00E22DEB"/>
    <w:rsid w:val="00E243FB"/>
    <w:rsid w:val="00E270B2"/>
    <w:rsid w:val="00E34DDB"/>
    <w:rsid w:val="00E4216F"/>
    <w:rsid w:val="00E443C7"/>
    <w:rsid w:val="00E45559"/>
    <w:rsid w:val="00E511F7"/>
    <w:rsid w:val="00E55456"/>
    <w:rsid w:val="00E55A32"/>
    <w:rsid w:val="00E63865"/>
    <w:rsid w:val="00E7008E"/>
    <w:rsid w:val="00E775C4"/>
    <w:rsid w:val="00E82CBA"/>
    <w:rsid w:val="00E86AFE"/>
    <w:rsid w:val="00E86E0B"/>
    <w:rsid w:val="00EB6999"/>
    <w:rsid w:val="00EB7611"/>
    <w:rsid w:val="00EC05CC"/>
    <w:rsid w:val="00EC1719"/>
    <w:rsid w:val="00EC6052"/>
    <w:rsid w:val="00ED2451"/>
    <w:rsid w:val="00ED34CD"/>
    <w:rsid w:val="00EF017B"/>
    <w:rsid w:val="00F001E6"/>
    <w:rsid w:val="00F032CC"/>
    <w:rsid w:val="00F057D1"/>
    <w:rsid w:val="00F1149C"/>
    <w:rsid w:val="00F13F44"/>
    <w:rsid w:val="00F21DF0"/>
    <w:rsid w:val="00F3106E"/>
    <w:rsid w:val="00F339D4"/>
    <w:rsid w:val="00F3513C"/>
    <w:rsid w:val="00F426F7"/>
    <w:rsid w:val="00F6491D"/>
    <w:rsid w:val="00F67607"/>
    <w:rsid w:val="00F67689"/>
    <w:rsid w:val="00F676AD"/>
    <w:rsid w:val="00F83877"/>
    <w:rsid w:val="00F9153D"/>
    <w:rsid w:val="00F95DB1"/>
    <w:rsid w:val="00F97E7B"/>
    <w:rsid w:val="00FA0EA7"/>
    <w:rsid w:val="00FA4108"/>
    <w:rsid w:val="00FA6F4B"/>
    <w:rsid w:val="00FB02A3"/>
    <w:rsid w:val="00FC76D4"/>
    <w:rsid w:val="00FE01C0"/>
    <w:rsid w:val="00FE5273"/>
    <w:rsid w:val="00FE751B"/>
    <w:rsid w:val="00FF381E"/>
    <w:rsid w:val="02086AE3"/>
    <w:rsid w:val="05DB6ABF"/>
    <w:rsid w:val="0E370B89"/>
    <w:rsid w:val="1F252220"/>
    <w:rsid w:val="255A5D34"/>
    <w:rsid w:val="2FF95846"/>
    <w:rsid w:val="390A27D8"/>
    <w:rsid w:val="3C6B0157"/>
    <w:rsid w:val="3DAB17FE"/>
    <w:rsid w:val="419E55BD"/>
    <w:rsid w:val="52490FB5"/>
    <w:rsid w:val="537C03C2"/>
    <w:rsid w:val="550B20E0"/>
    <w:rsid w:val="633B48D0"/>
    <w:rsid w:val="67A173DA"/>
    <w:rsid w:val="67E26D63"/>
    <w:rsid w:val="69552546"/>
    <w:rsid w:val="759275BB"/>
    <w:rsid w:val="76D23665"/>
  </w:rsids>
  <m:mathPr>
    <m:mathFont m:val="Cambria Math"/>
    <m:smallFrac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0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/>
    <w:lsdException w:name="index 2"/>
    <w:lsdException w:name="index 3"/>
    <w:lsdException w:name="index 4"/>
    <w:lsdException w:name="index 5"/>
    <w:lsdException w:name="index 6"/>
    <w:lsdException w:name="index 7"/>
    <w:lsdException w:name="index 8"/>
    <w:lsdException w:name="index 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/>
    <w:lsdException w:name="footnote text"/>
    <w:lsdException w:name="annotation text"/>
    <w:lsdException w:name="header" w:semiHidden="0" w:qFormat="1"/>
    <w:lsdException w:name="footer" w:semiHidden="0" w:uiPriority="0" w:qFormat="1"/>
    <w:lsdException w:name="index heading"/>
    <w:lsdException w:name="caption" w:uiPriority="35" w:qFormat="1"/>
    <w:lsdException w:name="table of figures"/>
    <w:lsdException w:name="envelope address"/>
    <w:lsdException w:name="envelope return"/>
    <w:lsdException w:name="footnote reference"/>
    <w:lsdException w:name="annotation reference"/>
    <w:lsdException w:name="line number"/>
    <w:lsdException w:name="page number"/>
    <w:lsdException w:name="endnote reference"/>
    <w:lsdException w:name="endnote text"/>
    <w:lsdException w:name="table of authorities"/>
    <w:lsdException w:name="macro"/>
    <w:lsdException w:name="toa heading"/>
    <w:lsdException w:name="List"/>
    <w:lsdException w:name="List Bullet"/>
    <w:lsdException w:name="List Number"/>
    <w:lsdException w:name="List 2"/>
    <w:lsdException w:name="List 3"/>
    <w:lsdException w:name="List 4"/>
    <w:lsdException w:name="List 5"/>
    <w:lsdException w:name="List Bullet 2"/>
    <w:lsdException w:name="List Bullet 3"/>
    <w:lsdException w:name="List Bullet 4"/>
    <w:lsdException w:name="List Bullet 5"/>
    <w:lsdException w:name="List Number 2"/>
    <w:lsdException w:name="List Number 3"/>
    <w:lsdException w:name="List Number 4"/>
    <w:lsdException w:name="List Number 5"/>
    <w:lsdException w:name="Title" w:semiHidden="0" w:uiPriority="10" w:unhideWhenUsed="0" w:qFormat="1"/>
    <w:lsdException w:name="Closing"/>
    <w:lsdException w:name="Signature"/>
    <w:lsdException w:name="Default Paragraph Font" w:uiPriority="1" w:qFormat="1"/>
    <w:lsdException w:name="Body Text"/>
    <w:lsdException w:name="Body Text Indent"/>
    <w:lsdException w:name="List Continue"/>
    <w:lsdException w:name="List Continue 2"/>
    <w:lsdException w:name="List Continue 3"/>
    <w:lsdException w:name="List Continue 4"/>
    <w:lsdException w:name="List Continue 5"/>
    <w:lsdException w:name="Message Header"/>
    <w:lsdException w:name="Subtitle" w:semiHidden="0" w:uiPriority="11" w:unhideWhenUsed="0" w:qFormat="1"/>
    <w:lsdException w:name="Salutation"/>
    <w:lsdException w:name="Date"/>
    <w:lsdException w:name="Body Text First Indent"/>
    <w:lsdException w:name="Body Text First Indent 2"/>
    <w:lsdException w:name="Note Heading"/>
    <w:lsdException w:name="Body Text 2"/>
    <w:lsdException w:name="Body Text 3"/>
    <w:lsdException w:name="Body Text Indent 2"/>
    <w:lsdException w:name="Body Text Indent 3"/>
    <w:lsdException w:name="Block Text"/>
    <w:lsdException w:name="Hyperlink" w:semiHidden="0" w:uiPriority="0" w:unhideWhenUsed="0" w:qFormat="1"/>
    <w:lsdException w:name="FollowedHyperlink"/>
    <w:lsdException w:name="Strong" w:semiHidden="0" w:uiPriority="22" w:unhideWhenUsed="0" w:qFormat="1"/>
    <w:lsdException w:name="Emphasis" w:semiHidden="0" w:uiPriority="20" w:unhideWhenUsed="0" w:qFormat="1"/>
    <w:lsdException w:name="Document Map"/>
    <w:lsdException w:name="Plain Text"/>
    <w:lsdException w:name="E-mail Signature"/>
    <w:lsdException w:name="Normal (Web)" w:semiHidden="0" w:uiPriority="0" w:unhideWhenUsed="0" w:qFormat="1"/>
    <w:lsdException w:name="HTML Acronym"/>
    <w:lsdException w:name="HTML Address"/>
    <w:lsdException w:name="HTML Cite"/>
    <w:lsdException w:name="HTML Code"/>
    <w:lsdException w:name="HTML Definition"/>
    <w:lsdException w:name="HTML Keyboard"/>
    <w:lsdException w:name="HTML Preformatted"/>
    <w:lsdException w:name="HTML Sample"/>
    <w:lsdException w:name="HTML Typewriter"/>
    <w:lsdException w:name="HTML Variable"/>
    <w:lsdException w:name="Normal Table" w:qFormat="1"/>
    <w:lsdException w:name="annotation subject"/>
    <w:lsdException w:name="Table Simple 1"/>
    <w:lsdException w:name="Table Simple 2"/>
    <w:lsdException w:name="Table Simple 3"/>
    <w:lsdException w:name="Table Classic 1"/>
    <w:lsdException w:name="Table Classic 2"/>
    <w:lsdException w:name="Table Classic 3"/>
    <w:lsdException w:name="Table Classic 4"/>
    <w:lsdException w:name="Table Colorful 1"/>
    <w:lsdException w:name="Table Colorful 2"/>
    <w:lsdException w:name="Table Colorful 3"/>
    <w:lsdException w:name="Table Columns 1"/>
    <w:lsdException w:name="Table Columns 2"/>
    <w:lsdException w:name="Table Columns 3"/>
    <w:lsdException w:name="Table Columns 4"/>
    <w:lsdException w:name="Table Columns 5"/>
    <w:lsdException w:name="Table Grid 1"/>
    <w:lsdException w:name="Table Grid 2"/>
    <w:lsdException w:name="Table Grid 3"/>
    <w:lsdException w:name="Table Grid 4"/>
    <w:lsdException w:name="Table Grid 5"/>
    <w:lsdException w:name="Table Grid 6"/>
    <w:lsdException w:name="Table Grid 7"/>
    <w:lsdException w:name="Table Grid 8"/>
    <w:lsdException w:name="Table List 1"/>
    <w:lsdException w:name="Table List 2"/>
    <w:lsdException w:name="Table List 3"/>
    <w:lsdException w:name="Table List 4"/>
    <w:lsdException w:name="Table List 5"/>
    <w:lsdException w:name="Table List 6"/>
    <w:lsdException w:name="Table List 7"/>
    <w:lsdException w:name="Table List 8"/>
    <w:lsdException w:name="Table 3D effects 1"/>
    <w:lsdException w:name="Table 3D effects 2"/>
    <w:lsdException w:name="Table 3D effects 3"/>
    <w:lsdException w:name="Table Contemporary"/>
    <w:lsdException w:name="Table Elegant"/>
    <w:lsdException w:name="Table Professional"/>
    <w:lsdException w:name="Table Subtle 1"/>
    <w:lsdException w:name="Table Subtle 2"/>
    <w:lsdException w:name="Table Web 1"/>
    <w:lsdException w:name="Table Web 2"/>
    <w:lsdException w:name="Table Web 3"/>
    <w:lsdException w:name="Balloon Text" w:qFormat="1"/>
    <w:lsdException w:name="Table Grid" w:semiHidden="0" w:uiPriority="39" w:unhideWhenUsed="0" w:qFormat="1"/>
    <w:lsdException w:name="Table Theme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</w:latentStyles>
  <w:style w:type="paragraph" w:default="1" w:styleId="Normal">
    <w:name w:val="Normal"/>
    <w:qFormat/>
    <w:pPr>
      <w:widowControl w:val="0"/>
      <w:jc w:val="both"/>
    </w:pPr>
    <w:rPr>
      <w:rFonts w:ascii="Calibri" w:eastAsia="宋体" w:hAnsi="Calibri" w:cs="宋体"/>
      <w:kern w:val="2"/>
      <w:sz w:val="21"/>
      <w:szCs w:val="24"/>
      <w:lang w:val="en-US" w:eastAsia="zh-CN" w:bidi="ar-SA"/>
    </w:rPr>
  </w:style>
  <w:style w:type="character" w:default="1" w:styleId="DefaultParagraphFont">
    <w:name w:val="Default Paragraph Font"/>
    <w:uiPriority w:val="1"/>
    <w:semiHidden/>
    <w:unhideWhenUsed/>
    <w:qFormat/>
  </w:style>
  <w:style w:type="table" w:default="1" w:styleId="TableNormal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a1"/>
    <w:uiPriority w:val="99"/>
    <w:semiHidden/>
    <w:unhideWhenUsed/>
    <w:qFormat/>
    <w:rPr>
      <w:sz w:val="18"/>
      <w:szCs w:val="18"/>
    </w:rPr>
  </w:style>
  <w:style w:type="paragraph" w:styleId="Footer">
    <w:name w:val="footer"/>
    <w:basedOn w:val="Normal"/>
    <w:link w:val="a0"/>
    <w:unhideWhenUsed/>
    <w:qFormat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paragraph" w:styleId="Header">
    <w:name w:val="header"/>
    <w:basedOn w:val="Normal"/>
    <w:link w:val="a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paragraph" w:styleId="NormalWeb">
    <w:name w:val="Normal (Web)"/>
    <w:basedOn w:val="Normal"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TableGrid">
    <w:name w:val="Table Grid"/>
    <w:basedOn w:val="TableNormal"/>
    <w:uiPriority w:val="39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Emphasis">
    <w:name w:val="Emphasis"/>
    <w:basedOn w:val="DefaultParagraphFont"/>
    <w:uiPriority w:val="20"/>
    <w:qFormat/>
    <w:rPr>
      <w:i/>
    </w:rPr>
  </w:style>
  <w:style w:type="character" w:styleId="Hyperlink">
    <w:name w:val="Hyperlink"/>
    <w:qFormat/>
    <w:rPr>
      <w:color w:val="0000FF"/>
      <w:u w:val="single"/>
    </w:rPr>
  </w:style>
  <w:style w:type="character" w:customStyle="1" w:styleId="a">
    <w:name w:val="页眉 字符"/>
    <w:basedOn w:val="DefaultParagraphFont"/>
    <w:link w:val="Header"/>
    <w:uiPriority w:val="99"/>
    <w:qFormat/>
    <w:rPr>
      <w:sz w:val="18"/>
      <w:szCs w:val="18"/>
    </w:rPr>
  </w:style>
  <w:style w:type="character" w:customStyle="1" w:styleId="a0">
    <w:name w:val="页脚 字符"/>
    <w:basedOn w:val="DefaultParagraphFont"/>
    <w:link w:val="Footer"/>
    <w:qFormat/>
    <w:rPr>
      <w:sz w:val="18"/>
      <w:szCs w:val="18"/>
    </w:rPr>
  </w:style>
  <w:style w:type="paragraph" w:customStyle="1" w:styleId="1">
    <w:name w:val="列出段落1"/>
    <w:basedOn w:val="Normal"/>
    <w:uiPriority w:val="99"/>
    <w:qFormat/>
    <w:pPr>
      <w:ind w:firstLine="420" w:firstLineChars="200"/>
    </w:pPr>
  </w:style>
  <w:style w:type="paragraph" w:styleId="ListParagraph">
    <w:name w:val="List Paragraph"/>
    <w:basedOn w:val="Normal"/>
    <w:uiPriority w:val="34"/>
    <w:qFormat/>
    <w:pPr>
      <w:ind w:firstLine="420" w:firstLineChars="200"/>
    </w:pPr>
  </w:style>
  <w:style w:type="character" w:customStyle="1" w:styleId="a1">
    <w:name w:val="批注框文本 字符"/>
    <w:basedOn w:val="DefaultParagraphFont"/>
    <w:link w:val="BalloonText"/>
    <w:uiPriority w:val="99"/>
    <w:semiHidden/>
    <w:qFormat/>
    <w:rPr>
      <w:rFonts w:ascii="Calibri" w:eastAsia="宋体" w:hAnsi="Calibri" w:cs="宋体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footer" Target="footer1.xml" /><Relationship Id="rId6" Type="http://schemas.openxmlformats.org/officeDocument/2006/relationships/theme" Target="theme/theme1.xml" /><Relationship Id="rId7" Type="http://schemas.openxmlformats.org/officeDocument/2006/relationships/styles" Target="styles.xml" /></Relationships>
</file>

<file path=word/_rels/fontTable.xml.rels>&#65279;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2" Type="http://schemas.openxmlformats.org/officeDocument/2006/relationships/font" Target="fonts/font2.odttf" /><Relationship Id="rId3" Type="http://schemas.openxmlformats.org/officeDocument/2006/relationships/font" Target="fonts/font3.odttf" /><Relationship Id="rId4" Type="http://schemas.openxmlformats.org/officeDocument/2006/relationships/font" Target="fonts/font4.odttf" /><Relationship Id="rId5" Type="http://schemas.openxmlformats.org/officeDocument/2006/relationships/font" Target="fonts/font5.odttf" /><Relationship Id="rId6" Type="http://schemas.openxmlformats.org/officeDocument/2006/relationships/font" Target="fonts/font6.odttf" /><Relationship Id="rId7" Type="http://schemas.openxmlformats.org/officeDocument/2006/relationships/font" Target="fonts/font7.odttf" 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7</Pages>
  <Words>418</Words>
  <Characters>2388</Characters>
  <Application>Microsoft Office Word</Application>
  <DocSecurity>0</DocSecurity>
  <Lines>19</Lines>
  <Paragraphs>5</Paragraphs>
  <ScaleCrop>false</ScaleCrop>
  <Company/>
  <LinksUpToDate>false</LinksUpToDate>
  <CharactersWithSpaces>2801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浪子天涯行</cp:lastModifiedBy>
  <cp:revision>437</cp:revision>
  <dcterms:created xsi:type="dcterms:W3CDTF">2022-03-14T14:20:00Z</dcterms:created>
  <dcterms:modified xsi:type="dcterms:W3CDTF">2022-04-01T03:51:41Z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F968E51E46684D59A97E3235E9F2B965</vt:lpwstr>
  </property>
  <property fmtid="{D5CDD505-2E9C-101B-9397-08002B2CF9AE}" pid="3" name="KSOProductBuildVer">
    <vt:lpwstr>2052-11.1.0.11365</vt:lpwstr>
  </property>
  <property fmtid="{D5CDD505-2E9C-101B-9397-08002B2CF9AE}" pid="4" name="KSOSaveFontToCloudKey">
    <vt:lpwstr>24671093_embed</vt:lpwstr>
  </property>
</Properties>
</file>