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bookmarkStart w:id="0" w:name="_Toc27831"/>
      <w:bookmarkStart w:id="1" w:name="_Toc7118"/>
      <w:bookmarkStart w:id="47" w:name="_GoBack"/>
      <w:bookmarkEnd w:id="47"/>
    </w:p>
    <w:p>
      <w:pPr>
        <w:jc w:val="left"/>
      </w:pPr>
    </w:p>
    <w:p>
      <w:pPr>
        <w:jc w:val="left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  <w:bookmarkStart w:id="2" w:name="_Toc3617"/>
      <w:bookmarkStart w:id="3" w:name="_Toc10034"/>
      <w:bookmarkStart w:id="4" w:name="_Toc18280"/>
      <w:r>
        <w:rPr>
          <w:rFonts w:hint="eastAsia"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  <w:t>学生工作管理系统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  <w:r>
        <w:rPr>
          <w:rFonts w:hint="eastAsia"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  <w:t>培养单位用户使用手册</w:t>
      </w:r>
    </w:p>
    <w:p>
      <w:pPr>
        <w:jc w:val="left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eastAsiaTheme="minor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Theme="minorHAnsi" w:hAnsiTheme="minorEastAsia" w:eastAsiaTheme="minorEastAsia" w:cstheme="minorEastAsia"/>
          <w:b/>
          <w:color w:val="0D0D0D"/>
          <w:kern w:val="0"/>
          <w:sz w:val="40"/>
          <w:szCs w:val="40"/>
          <w:lang w:bidi="ar"/>
        </w:rPr>
        <w:t>Version</w:t>
      </w:r>
      <w:r>
        <w:rPr>
          <w:rFonts w:hint="eastAsia" w:asciiTheme="minorHAnsi" w:hAnsiTheme="minorEastAsia" w:eastAsiaTheme="minorEastAsia" w:cstheme="minorEastAsia"/>
          <w:color w:val="333333"/>
          <w:sz w:val="40"/>
          <w:szCs w:val="40"/>
          <w:shd w:val="clear" w:color="auto" w:fill="FFFFFF"/>
        </w:rPr>
        <w:t>1.0.0</w:t>
      </w:r>
    </w:p>
    <w:p>
      <w:pPr>
        <w:jc w:val="left"/>
      </w:pPr>
    </w:p>
    <w:p>
      <w:pPr>
        <w:jc w:val="left"/>
        <w:rPr>
          <w:rFonts w:ascii="微软雅黑" w:hAnsi="微软雅黑" w:eastAsia="微软雅黑"/>
          <w:b/>
          <w:color w:val="0D0D0D" w:themeColor="text1" w:themeTint="F2"/>
          <w:sz w:val="44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0D0D0D" w:themeColor="text1" w:themeTint="F2"/>
          <w:sz w:val="44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目 录</w:t>
      </w:r>
    </w:p>
    <w:p>
      <w:pPr>
        <w:jc w:val="left"/>
        <w:rPr>
          <w:rFonts w:hint="eastAsia" w:ascii="微软雅黑" w:hAnsi="微软雅黑" w:eastAsia="微软雅黑"/>
          <w:color w:val="A6A6A6" w:themeColor="background1" w:themeShade="A6"/>
          <w:sz w:val="30"/>
          <w:szCs w:val="30"/>
        </w:rPr>
      </w:pPr>
      <w:r>
        <w:rPr>
          <w:rFonts w:hint="eastAsia" w:ascii="微软雅黑" w:hAnsi="微软雅黑" w:eastAsia="微软雅黑"/>
          <w:color w:val="A6A6A6" w:themeColor="background1" w:themeShade="A6"/>
          <w:sz w:val="30"/>
          <w:szCs w:val="30"/>
        </w:rPr>
        <w:t>Contents</w:t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2285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Times New Roman"/>
          <w:b/>
          <w:color w:val="A6A6A6" w:themeColor="background1" w:themeShade="A6"/>
          <w:kern w:val="2"/>
          <w:sz w:val="21"/>
          <w:szCs w:val="3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Times New Roman"/>
              <w:b/>
              <w:color w:val="A6A6A6" w:themeColor="background1" w:themeShade="A6"/>
              <w:kern w:val="2"/>
              <w:sz w:val="21"/>
              <w:szCs w:val="30"/>
              <w:lang w:val="en-US" w:eastAsia="zh-CN" w:bidi="ar-SA"/>
            </w:rPr>
          </w:pPr>
          <w:r>
            <w:rPr>
              <w:rFonts w:hint="eastAsia" w:ascii="微软雅黑" w:hAnsi="微软雅黑" w:eastAsia="微软雅黑"/>
              <w:color w:val="A6A6A6" w:themeColor="background1" w:themeShade="A6"/>
              <w:sz w:val="30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A6A6A6" w:themeColor="background1" w:themeShade="A6"/>
              <w:sz w:val="30"/>
              <w:szCs w:val="30"/>
            </w:rPr>
            <w:instrText xml:space="preserve">TOC \o "1-2" \h \u </w:instrText>
          </w:r>
          <w:r>
            <w:rPr>
              <w:rFonts w:hint="eastAsia" w:ascii="微软雅黑" w:hAnsi="微软雅黑" w:eastAsia="微软雅黑"/>
              <w:color w:val="A6A6A6" w:themeColor="background1" w:themeShade="A6"/>
              <w:sz w:val="30"/>
              <w:szCs w:val="30"/>
            </w:rPr>
            <w:fldChar w:fldCharType="separate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_Toc16531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登录（PC端）</w:t>
          </w:r>
          <w:r>
            <w:tab/>
          </w:r>
          <w:r>
            <w:fldChar w:fldCharType="begin"/>
          </w:r>
          <w:r>
            <w:instrText xml:space="preserve"> PAGEREF _Toc16531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_Toc11082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default" w:ascii="宋体" w:hAnsi="宋体" w:eastAsia="宋体" w:cs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1.1 </w:t>
          </w:r>
          <w:r>
            <w:rPr>
              <w:rFonts w:hint="eastAsia"/>
            </w:rPr>
            <w:t>方式一：通过</w:t>
          </w:r>
          <w:r>
            <w:rPr>
              <w:rFonts w:hint="eastAsia"/>
              <w:lang w:val="en-US" w:eastAsia="zh-CN"/>
            </w:rPr>
            <w:t>学生工作管理系统</w:t>
          </w:r>
          <w:r>
            <w:rPr>
              <w:rFonts w:hint="eastAsia"/>
            </w:rPr>
            <w:t>查看</w:t>
          </w:r>
          <w:r>
            <w:tab/>
          </w:r>
          <w:r>
            <w:fldChar w:fldCharType="begin"/>
          </w:r>
          <w:r>
            <w:instrText xml:space="preserve"> PAGEREF _Toc11082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_Toc23371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default" w:ascii="宋体" w:hAnsi="宋体" w:eastAsia="宋体" w:cs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 </w:t>
          </w:r>
          <w:r>
            <w:rPr>
              <w:rFonts w:hint="eastAsia"/>
            </w:rPr>
            <w:t>方式</w:t>
          </w:r>
          <w:r>
            <w:rPr>
              <w:rFonts w:hint="eastAsia"/>
              <w:lang w:val="en-US" w:eastAsia="zh-CN"/>
            </w:rPr>
            <w:t>二</w:t>
          </w:r>
          <w:r>
            <w:rPr>
              <w:rFonts w:hint="eastAsia"/>
            </w:rPr>
            <w:t>：通过统一门户查看</w:t>
          </w:r>
          <w:r>
            <w:tab/>
          </w:r>
          <w:r>
            <w:fldChar w:fldCharType="begin"/>
          </w:r>
          <w:r>
            <w:instrText xml:space="preserve"> PAGEREF _Toc23371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_Toc4165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功能入口</w:t>
          </w:r>
          <w:r>
            <w:tab/>
          </w:r>
          <w:r>
            <w:fldChar w:fldCharType="begin"/>
          </w:r>
          <w:r>
            <w:instrText xml:space="preserve"> PAGEREF _Toc4165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_Toc8724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办理审核</w:t>
          </w:r>
          <w:r>
            <w:tab/>
          </w:r>
          <w:r>
            <w:fldChar w:fldCharType="begin"/>
          </w:r>
          <w:r>
            <w:instrText xml:space="preserve"> PAGEREF _Toc8724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_Toc7013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3.1</w:t>
          </w:r>
          <w:r>
            <w:rPr>
              <w:rFonts w:hint="eastAsia"/>
            </w:rPr>
            <w:t>切换管理范围</w:t>
          </w:r>
          <w:r>
            <w:tab/>
          </w:r>
          <w:r>
            <w:fldChar w:fldCharType="begin"/>
          </w:r>
          <w:r>
            <w:instrText xml:space="preserve"> PAGEREF _Toc7013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_Toc8295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3.2</w:t>
          </w:r>
          <w:r>
            <w:rPr>
              <w:rFonts w:hint="eastAsia"/>
            </w:rPr>
            <w:t>切换角色</w:t>
          </w:r>
          <w:r>
            <w:tab/>
          </w:r>
          <w:r>
            <w:fldChar w:fldCharType="begin"/>
          </w:r>
          <w:r>
            <w:instrText xml:space="preserve"> PAGEREF _Toc8295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_Toc1771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3.3</w:t>
          </w:r>
          <w:r>
            <w:rPr>
              <w:rFonts w:hint="eastAsia"/>
            </w:rPr>
            <w:t>待审核</w:t>
          </w:r>
          <w:r>
            <w:tab/>
          </w:r>
          <w:r>
            <w:fldChar w:fldCharType="begin"/>
          </w:r>
          <w:r>
            <w:instrText xml:space="preserve"> PAGEREF _Toc1771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_Toc22899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3.4</w:t>
          </w:r>
          <w:r>
            <w:rPr>
              <w:rFonts w:hint="eastAsia"/>
            </w:rPr>
            <w:t>审核</w:t>
          </w:r>
          <w:r>
            <w:tab/>
          </w:r>
          <w:r>
            <w:fldChar w:fldCharType="begin"/>
          </w:r>
          <w:r>
            <w:instrText xml:space="preserve"> PAGEREF _Toc22899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_Toc23445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3.5</w:t>
          </w:r>
          <w:r>
            <w:rPr>
              <w:rFonts w:hint="eastAsia"/>
            </w:rPr>
            <w:t>回退</w:t>
          </w:r>
          <w:r>
            <w:tab/>
          </w:r>
          <w:r>
            <w:fldChar w:fldCharType="begin"/>
          </w:r>
          <w:r>
            <w:instrText xml:space="preserve"> PAGEREF _Toc23445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_Toc1074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3.6</w:t>
          </w:r>
          <w:r>
            <w:rPr>
              <w:rFonts w:hint="eastAsia"/>
            </w:rPr>
            <w:t>批量审核</w:t>
          </w:r>
          <w:r>
            <w:tab/>
          </w:r>
          <w:r>
            <w:fldChar w:fldCharType="begin"/>
          </w:r>
          <w:r>
            <w:instrText xml:space="preserve"> PAGEREF _Toc1074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_Toc26815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3.7</w:t>
          </w:r>
          <w:r>
            <w:rPr>
              <w:rFonts w:hint="eastAsia"/>
            </w:rPr>
            <w:t>已审核</w:t>
          </w:r>
          <w:r>
            <w:tab/>
          </w:r>
          <w:r>
            <w:fldChar w:fldCharType="begin"/>
          </w:r>
          <w:r>
            <w:instrText xml:space="preserve"> PAGEREF _Toc26815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_Toc7582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进度查询</w:t>
          </w:r>
          <w:r>
            <w:tab/>
          </w:r>
          <w:r>
            <w:fldChar w:fldCharType="begin"/>
          </w:r>
          <w:r>
            <w:instrText xml:space="preserve"> PAGEREF _Toc7582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_Toc7777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4.1</w:t>
          </w:r>
          <w:r>
            <w:rPr>
              <w:rFonts w:hint="eastAsia"/>
            </w:rPr>
            <w:t>查看进度</w:t>
          </w:r>
          <w:r>
            <w:tab/>
          </w:r>
          <w:r>
            <w:fldChar w:fldCharType="begin"/>
          </w:r>
          <w:r>
            <w:instrText xml:space="preserve"> PAGEREF _Toc7777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_Toc10533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4.2</w:t>
          </w:r>
          <w:r>
            <w:rPr>
              <w:rFonts w:hint="eastAsia"/>
            </w:rPr>
            <w:t>导出汇总表</w:t>
          </w:r>
          <w:r>
            <w:tab/>
          </w:r>
          <w:r>
            <w:fldChar w:fldCharType="begin"/>
          </w:r>
          <w:r>
            <w:instrText xml:space="preserve"> PAGEREF _Toc10533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_Toc24609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4.3</w:t>
          </w:r>
          <w:r>
            <w:rPr>
              <w:rFonts w:hint="eastAsia"/>
            </w:rPr>
            <w:t>统计查询</w:t>
          </w:r>
          <w:r>
            <w:tab/>
          </w:r>
          <w:r>
            <w:fldChar w:fldCharType="begin"/>
          </w:r>
          <w:r>
            <w:instrText xml:space="preserve"> PAGEREF _Toc24609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_Toc31233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4.4</w:t>
          </w:r>
          <w:r>
            <w:rPr>
              <w:rFonts w:hint="eastAsia"/>
            </w:rPr>
            <w:t>统计详情</w:t>
          </w:r>
          <w:r>
            <w:tab/>
          </w:r>
          <w:r>
            <w:fldChar w:fldCharType="begin"/>
          </w:r>
          <w:r>
            <w:instrText xml:space="preserve"> PAGEREF _Toc31233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begin"/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instrText xml:space="preserve"> HYPERLINK \l _Toc25045 </w:instrText>
          </w:r>
          <w:r>
            <w:rPr>
              <w:rFonts w:hint="eastAsia" w:ascii="微软雅黑" w:hAnsi="微软雅黑" w:eastAsia="微软雅黑"/>
              <w:color w:val="03407D" w:themeColor="hyperlink" w:themeShade="A6"/>
              <w:szCs w:val="30"/>
            </w:rPr>
            <w:fldChar w:fldCharType="separate"/>
          </w:r>
          <w:r>
            <w:rPr>
              <w:rFonts w:hint="eastAsia"/>
              <w:lang w:val="en-US" w:eastAsia="zh-CN"/>
            </w:rPr>
            <w:t>4.5</w:t>
          </w:r>
          <w:r>
            <w:rPr>
              <w:rFonts w:hint="eastAsia"/>
            </w:rPr>
            <w:t>切换管理范围</w:t>
          </w:r>
          <w:r>
            <w:tab/>
          </w:r>
          <w:r>
            <w:fldChar w:fldCharType="begin"/>
          </w:r>
          <w:r>
            <w:instrText xml:space="preserve"> PAGEREF _Toc25045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/>
              <w:color w:val="A6A6A6" w:themeColor="background1" w:themeShade="A6"/>
              <w:szCs w:val="30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left"/>
            <w:rPr>
              <w:rFonts w:hint="eastAsia" w:ascii="微软雅黑" w:hAnsi="微软雅黑" w:eastAsia="微软雅黑"/>
              <w:color w:val="A6A6A6" w:themeColor="background1" w:themeShade="A6"/>
              <w:sz w:val="30"/>
              <w:szCs w:val="30"/>
            </w:rPr>
          </w:pPr>
          <w:r>
            <w:rPr>
              <w:rFonts w:hint="eastAsia" w:ascii="微软雅黑" w:hAnsi="微软雅黑" w:eastAsia="微软雅黑"/>
              <w:b/>
              <w:color w:val="A6A6A6" w:themeColor="background1" w:themeShade="A6"/>
              <w:szCs w:val="30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center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hint="eastAsia" w:ascii="微软雅黑" w:hAnsi="微软雅黑" w:eastAsia="微软雅黑" w:cs="微软雅黑"/>
          <w:szCs w:val="21"/>
        </w:rPr>
      </w:pPr>
    </w:p>
    <w:p>
      <w:pPr>
        <w:pStyle w:val="2"/>
        <w:bidi w:val="0"/>
      </w:pPr>
      <w:bookmarkStart w:id="5" w:name="_Toc28944"/>
      <w:bookmarkStart w:id="6" w:name="_Toc16531"/>
      <w:r>
        <w:rPr>
          <w:rFonts w:hint="eastAsia"/>
          <w:lang w:val="en-US" w:eastAsia="zh-CN"/>
        </w:rPr>
        <w:t>1</w:t>
      </w:r>
      <w:r>
        <w:rPr>
          <w:rFonts w:hint="eastAsia"/>
        </w:rPr>
        <w:t>登录（PC端）</w:t>
      </w:r>
      <w:bookmarkEnd w:id="2"/>
      <w:bookmarkEnd w:id="3"/>
      <w:bookmarkEnd w:id="4"/>
      <w:bookmarkEnd w:id="5"/>
      <w:bookmarkEnd w:id="6"/>
    </w:p>
    <w:p>
      <w:pPr>
        <w:pStyle w:val="3"/>
        <w:bidi w:val="0"/>
      </w:pPr>
      <w:bookmarkStart w:id="7" w:name="_Toc27176"/>
      <w:bookmarkStart w:id="8" w:name="_Toc28330"/>
      <w:bookmarkStart w:id="9" w:name="_Toc11082"/>
      <w:bookmarkStart w:id="10" w:name="_Toc8189"/>
      <w:bookmarkStart w:id="11" w:name="_Toc27443"/>
      <w:bookmarkStart w:id="12" w:name="_Toc22074"/>
      <w:bookmarkStart w:id="13" w:name="_Toc18709"/>
      <w:r>
        <w:rPr>
          <w:rFonts w:hint="eastAsia"/>
        </w:rPr>
        <w:t>方式一：通过</w:t>
      </w:r>
      <w:r>
        <w:rPr>
          <w:rFonts w:hint="eastAsia"/>
          <w:lang w:val="en-US" w:eastAsia="zh-CN"/>
        </w:rPr>
        <w:t>学生工作管理系统</w:t>
      </w:r>
      <w:r>
        <w:rPr>
          <w:rFonts w:hint="eastAsia"/>
        </w:rPr>
        <w:t>查看</w:t>
      </w:r>
      <w:bookmarkEnd w:id="7"/>
      <w:bookmarkEnd w:id="8"/>
      <w:bookmarkEnd w:id="9"/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打开浏览器在地址栏输入学生工作管理系统访问地址：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instrText xml:space="preserve"> HYPERLINK "https://freshman.sysu.edu.cn/" </w:instrTex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https://freshman.sysu.edu.cn/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，通过 NetID 登录。如下图所示：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54250" cy="1863725"/>
            <wp:effectExtent l="0" t="0" r="1270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3928" t="3253" r="2455" b="3548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登录学生工作管理系统后，点击”全部服务“，在“资助服务”的标签下，可找到”减免学费“图标，如下图：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4150" cy="1831975"/>
            <wp:effectExtent l="0" t="0" r="12700" b="15875"/>
            <wp:docPr id="1" name="图片 1" descr="1be551d9a6d337b0698a751a37b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e551d9a6d337b0698a751a37b15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</w:pPr>
      <w:bookmarkStart w:id="14" w:name="_Toc23371"/>
      <w:bookmarkStart w:id="15" w:name="_Toc8609"/>
      <w:bookmarkStart w:id="16" w:name="_Toc22633"/>
      <w:r>
        <w:rPr>
          <w:rFonts w:hint="eastAsia"/>
        </w:rPr>
        <w:t>方式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：通过统一门户查看</w:t>
      </w:r>
      <w:bookmarkEnd w:id="10"/>
      <w:bookmarkEnd w:id="11"/>
      <w:bookmarkEnd w:id="14"/>
      <w:bookmarkEnd w:id="15"/>
      <w:bookmarkEnd w:id="16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打开浏览器在地址栏输入统一门户访问地址：portal.sysu.edu.cn，点击登录，进入登录页面，通过NetID登录。如图所示：</w:t>
      </w:r>
    </w:p>
    <w:p>
      <w:pPr>
        <w:ind w:firstLine="420" w:firstLineChars="200"/>
        <w:jc w:val="left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0340" cy="2450465"/>
            <wp:effectExtent l="0" t="0" r="1651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登录后，可以通过以下两种方式找到</w:t>
      </w:r>
      <w:r>
        <w:rPr>
          <w:rFonts w:hint="eastAsia" w:ascii="微软雅黑" w:hAnsi="微软雅黑" w:eastAsia="微软雅黑" w:cs="微软雅黑"/>
          <w:lang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减免学费</w:t>
      </w:r>
      <w:r>
        <w:rPr>
          <w:rFonts w:hint="eastAsia" w:ascii="微软雅黑" w:hAnsi="微软雅黑" w:eastAsia="微软雅黑" w:cs="微软雅黑"/>
          <w:lang w:eastAsia="zh-CN"/>
        </w:rPr>
        <w:t>”</w:t>
      </w:r>
      <w:r>
        <w:rPr>
          <w:rFonts w:hint="eastAsia" w:ascii="微软雅黑" w:hAnsi="微软雅黑" w:eastAsia="微软雅黑" w:cs="微软雅黑"/>
        </w:rPr>
        <w:t>应用图标：</w:t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第一种，</w:t>
      </w:r>
      <w:r>
        <w:rPr>
          <w:rFonts w:hint="eastAsia" w:ascii="微软雅黑" w:hAnsi="微软雅黑" w:eastAsia="微软雅黑" w:cs="微软雅黑"/>
          <w:lang w:val="en-US" w:eastAsia="zh-CN"/>
        </w:rPr>
        <w:t>点击顶部的放大镜“</w:t>
      </w:r>
      <w:r>
        <w:rPr>
          <w:rFonts w:hint="eastAsia" w:ascii="微软雅黑" w:hAnsi="微软雅黑" w:eastAsia="微软雅黑" w:cs="微软雅黑"/>
        </w:rPr>
        <w:t>图标，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输入模块名称“减免学费”即可找到</w:t>
      </w:r>
      <w:r>
        <w:rPr>
          <w:rFonts w:hint="eastAsia" w:ascii="微软雅黑" w:hAnsi="微软雅黑" w:eastAsia="微软雅黑" w:cs="微软雅黑"/>
        </w:rPr>
        <w:t>，如下图所示：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960" cy="1572895"/>
            <wp:effectExtent l="0" t="0" r="8890" b="8255"/>
            <wp:docPr id="15" name="图片 15" descr="827cddd546e81d30e008a073b5a4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27cddd546e81d30e008a073b5a44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第二种，在</w:t>
      </w:r>
      <w:r>
        <w:rPr>
          <w:rFonts w:hint="eastAsia" w:ascii="微软雅黑" w:hAnsi="微软雅黑" w:eastAsia="微软雅黑" w:cs="微软雅黑"/>
          <w:lang w:val="en-US" w:eastAsia="zh-CN"/>
        </w:rPr>
        <w:t>服务</w:t>
      </w:r>
      <w:r>
        <w:rPr>
          <w:rFonts w:hint="eastAsia" w:ascii="微软雅黑" w:hAnsi="微软雅黑" w:eastAsia="微软雅黑" w:cs="微软雅黑"/>
        </w:rPr>
        <w:t>收藏夹，</w:t>
      </w:r>
      <w:r>
        <w:rPr>
          <w:rFonts w:hint="eastAsia" w:ascii="微软雅黑" w:hAnsi="微软雅黑" w:eastAsia="微软雅黑" w:cs="微软雅黑"/>
          <w:lang w:val="en-US" w:eastAsia="zh-CN"/>
        </w:rPr>
        <w:t>点击查看全部服务：</w:t>
      </w:r>
    </w:p>
    <w:p>
      <w:pPr>
        <w:ind w:firstLine="42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0340" cy="1210310"/>
            <wp:effectExtent l="0" t="0" r="16510" b="8890"/>
            <wp:docPr id="3" name="图片 3" descr="64721ceedc0293a73d40dd1e5fc4b59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721ceedc0293a73d40dd1e5fc4b59b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在全部服务中，找到“学工系统服务”，找到“减免学费</w:t>
      </w:r>
      <w:r>
        <w:rPr>
          <w:rFonts w:hint="eastAsia" w:ascii="微软雅黑" w:hAnsi="微软雅黑" w:eastAsia="微软雅黑" w:cs="微软雅黑"/>
          <w:lang w:eastAsia="zh-CN"/>
        </w:rPr>
        <w:t>：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4057015"/>
            <wp:effectExtent l="0" t="0" r="8255" b="635"/>
            <wp:docPr id="5" name="图片 5" descr="cbbc276897314f205cfd10116688b07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bbc276897314f205cfd10116688b07e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 w:ascii="微软雅黑" w:hAnsi="微软雅黑" w:eastAsia="微软雅黑" w:cs="微软雅黑"/>
          <w:color w:val="auto"/>
        </w:rPr>
        <w:t>鼠标移到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模块</w:t>
      </w:r>
      <w:r>
        <w:rPr>
          <w:rFonts w:hint="eastAsia" w:ascii="微软雅黑" w:hAnsi="微软雅黑" w:eastAsia="微软雅黑" w:cs="微软雅黑"/>
          <w:color w:val="auto"/>
        </w:rPr>
        <w:t>图标上，点击”星号“，进行收藏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，可</w:t>
      </w:r>
      <w:r>
        <w:rPr>
          <w:rFonts w:hint="eastAsia" w:ascii="微软雅黑" w:hAnsi="微软雅黑" w:eastAsia="微软雅黑" w:cs="微软雅黑"/>
          <w:color w:val="auto"/>
        </w:rPr>
        <w:t>方便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此后</w:t>
      </w:r>
      <w:r>
        <w:rPr>
          <w:rFonts w:hint="eastAsia" w:ascii="微软雅黑" w:hAnsi="微软雅黑" w:eastAsia="微软雅黑" w:cs="微软雅黑"/>
          <w:color w:val="auto"/>
        </w:rPr>
        <w:t>找到</w:t>
      </w:r>
      <w:r>
        <w:rPr>
          <w:rFonts w:hint="eastAsia" w:ascii="微软雅黑" w:hAnsi="微软雅黑" w:eastAsia="微软雅黑" w:cs="微软雅黑"/>
          <w:color w:val="auto"/>
          <w:lang w:eastAsia="zh-CN"/>
        </w:rPr>
        <w:t>该模块</w:t>
      </w:r>
      <w:r>
        <w:rPr>
          <w:rFonts w:hint="eastAsia" w:ascii="微软雅黑" w:hAnsi="微软雅黑" w:eastAsia="微软雅黑" w:cs="微软雅黑"/>
          <w:color w:val="auto"/>
        </w:rPr>
        <w:t>，如</w:t>
      </w: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上</w:t>
      </w:r>
      <w:r>
        <w:rPr>
          <w:rFonts w:hint="eastAsia" w:ascii="微软雅黑" w:hAnsi="微软雅黑" w:eastAsia="微软雅黑" w:cs="微软雅黑"/>
          <w:color w:val="auto"/>
        </w:rPr>
        <w:t>图所示。收藏后，即可在首页收藏夹找到。</w:t>
      </w:r>
      <w:bookmarkEnd w:id="0"/>
      <w:bookmarkEnd w:id="12"/>
      <w:bookmarkEnd w:id="13"/>
    </w:p>
    <w:bookmarkEnd w:id="1"/>
    <w:p>
      <w:pPr>
        <w:pStyle w:val="2"/>
        <w:bidi w:val="0"/>
      </w:pPr>
      <w:bookmarkStart w:id="17" w:name="_Toc4165"/>
      <w:bookmarkStart w:id="18" w:name="_Toc29175"/>
      <w:r>
        <w:rPr>
          <w:rFonts w:hint="eastAsia"/>
          <w:lang w:val="en-US" w:eastAsia="zh-CN"/>
        </w:rPr>
        <w:t>2</w:t>
      </w:r>
      <w:r>
        <w:rPr>
          <w:rFonts w:hint="eastAsia"/>
        </w:rPr>
        <w:t>功能入口</w:t>
      </w:r>
      <w:bookmarkEnd w:id="17"/>
      <w:bookmarkEnd w:id="18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</w:t>
      </w:r>
      <w:r>
        <w:rPr>
          <w:rFonts w:hint="eastAsia" w:ascii="微软雅黑" w:hAnsi="微软雅黑" w:eastAsia="微软雅黑" w:cs="微软雅黑"/>
          <w:lang w:val="en-US" w:eastAsia="zh-CN"/>
        </w:rPr>
        <w:t>减免学费模块</w:t>
      </w:r>
      <w:r>
        <w:rPr>
          <w:rFonts w:hint="eastAsia" w:ascii="微软雅黑" w:hAnsi="微软雅黑" w:eastAsia="微软雅黑" w:cs="微软雅黑"/>
        </w:rPr>
        <w:t>后，</w:t>
      </w:r>
      <w:r>
        <w:rPr>
          <w:rFonts w:hint="eastAsia" w:ascii="微软雅黑" w:hAnsi="微软雅黑" w:eastAsia="微软雅黑" w:cs="微软雅黑"/>
          <w:lang w:val="en-US" w:eastAsia="zh-CN"/>
        </w:rPr>
        <w:t>在主页左侧菜单栏点击“办理审核”</w:t>
      </w:r>
      <w:r>
        <w:rPr>
          <w:rFonts w:hint="eastAsia" w:ascii="微软雅黑" w:hAnsi="微软雅黑" w:eastAsia="微软雅黑" w:cs="微软雅黑"/>
        </w:rPr>
        <w:t>，即可进入办理审核主界面，如图所示：</w:t>
      </w:r>
    </w:p>
    <w:p>
      <w:pPr>
        <w:ind w:firstLine="0" w:firstLineChars="0"/>
        <w:jc w:val="both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69230" cy="1419225"/>
            <wp:effectExtent l="0" t="0" r="7620" b="952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jc w:val="center"/>
        <w:rPr>
          <w:rFonts w:hint="eastAsia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1-</w:t>
      </w:r>
      <w:r>
        <w:rPr>
          <w:rFonts w:hint="eastAsia"/>
          <w:sz w:val="18"/>
          <w:szCs w:val="18"/>
        </w:rPr>
        <w:t>办理审核主界面</w:t>
      </w:r>
    </w:p>
    <w:p>
      <w:pPr>
        <w:jc w:val="center"/>
        <w:rPr>
          <w:b/>
        </w:rPr>
      </w:pP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</w:t>
      </w:r>
      <w:r>
        <w:rPr>
          <w:rFonts w:hint="eastAsia" w:ascii="微软雅黑" w:hAnsi="微软雅黑" w:eastAsia="微软雅黑" w:cs="微软雅黑"/>
          <w:lang w:eastAsia="zh-CN"/>
        </w:rPr>
        <w:t>减免</w:t>
      </w:r>
      <w:r>
        <w:rPr>
          <w:rFonts w:hint="eastAsia" w:ascii="微软雅黑" w:hAnsi="微软雅黑" w:eastAsia="微软雅黑" w:cs="微软雅黑"/>
          <w:lang w:val="en-US" w:eastAsia="zh-CN"/>
        </w:rPr>
        <w:t>学费</w:t>
      </w:r>
      <w:r>
        <w:rPr>
          <w:rFonts w:hint="eastAsia" w:ascii="微软雅黑" w:hAnsi="微软雅黑" w:eastAsia="微软雅黑" w:cs="微软雅黑"/>
        </w:rPr>
        <w:t>模块后，</w:t>
      </w:r>
      <w:r>
        <w:rPr>
          <w:rFonts w:hint="eastAsia" w:ascii="微软雅黑" w:hAnsi="微软雅黑" w:eastAsia="微软雅黑" w:cs="微软雅黑"/>
          <w:lang w:val="en-US" w:eastAsia="zh-CN"/>
        </w:rPr>
        <w:t>在主页左侧菜单栏点击“进度查询”</w:t>
      </w:r>
      <w:r>
        <w:rPr>
          <w:rFonts w:hint="eastAsia" w:ascii="微软雅黑" w:hAnsi="微软雅黑" w:eastAsia="微软雅黑" w:cs="微软雅黑"/>
        </w:rPr>
        <w:t>，即可进入进度查询主界面，如图所示：</w:t>
      </w:r>
    </w:p>
    <w:p>
      <w:pPr>
        <w:ind w:firstLine="0" w:firstLineChars="0"/>
        <w:jc w:val="both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60340" cy="1471295"/>
            <wp:effectExtent l="0" t="0" r="16510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jc w:val="center"/>
        <w:rPr>
          <w:rFonts w:hint="eastAsia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2-</w:t>
      </w:r>
      <w:r>
        <w:rPr>
          <w:rFonts w:hint="eastAsia"/>
          <w:sz w:val="18"/>
          <w:szCs w:val="18"/>
        </w:rPr>
        <w:t>进度查询主界面</w:t>
      </w:r>
    </w:p>
    <w:p>
      <w:pPr>
        <w:jc w:val="center"/>
        <w:rPr>
          <w:b/>
        </w:rPr>
      </w:pP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</w:t>
      </w:r>
      <w:r>
        <w:rPr>
          <w:rFonts w:hint="eastAsia" w:ascii="微软雅黑" w:hAnsi="微软雅黑" w:eastAsia="微软雅黑" w:cs="微软雅黑"/>
          <w:lang w:eastAsia="zh-CN"/>
        </w:rPr>
        <w:t>减免</w:t>
      </w:r>
      <w:r>
        <w:rPr>
          <w:rFonts w:hint="eastAsia" w:ascii="微软雅黑" w:hAnsi="微软雅黑" w:eastAsia="微软雅黑" w:cs="微软雅黑"/>
          <w:lang w:val="en-US" w:eastAsia="zh-CN"/>
        </w:rPr>
        <w:t>学费</w:t>
      </w:r>
      <w:r>
        <w:rPr>
          <w:rFonts w:hint="eastAsia" w:ascii="微软雅黑" w:hAnsi="微软雅黑" w:eastAsia="微软雅黑" w:cs="微软雅黑"/>
        </w:rPr>
        <w:t>模块后，</w:t>
      </w:r>
      <w:r>
        <w:rPr>
          <w:rFonts w:hint="eastAsia" w:ascii="微软雅黑" w:hAnsi="微软雅黑" w:eastAsia="微软雅黑" w:cs="微软雅黑"/>
          <w:lang w:val="en-US" w:eastAsia="zh-CN"/>
        </w:rPr>
        <w:t>在主页左侧菜单栏点击“统计查询”</w:t>
      </w:r>
      <w:r>
        <w:rPr>
          <w:rFonts w:hint="eastAsia" w:ascii="微软雅黑" w:hAnsi="微软雅黑" w:eastAsia="微软雅黑" w:cs="微软雅黑"/>
        </w:rPr>
        <w:t>，即可进入统计查询主界面，如图所示：</w:t>
      </w:r>
    </w:p>
    <w:p>
      <w:pPr>
        <w:ind w:firstLine="0" w:firstLineChars="0"/>
        <w:jc w:val="both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58435" cy="1925955"/>
            <wp:effectExtent l="0" t="0" r="18415" b="171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jc w:val="center"/>
        <w:rPr>
          <w:rFonts w:hint="eastAsia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3-</w:t>
      </w:r>
      <w:r>
        <w:rPr>
          <w:rFonts w:hint="eastAsia"/>
          <w:sz w:val="18"/>
          <w:szCs w:val="18"/>
        </w:rPr>
        <w:t>统计查询主界面</w:t>
      </w:r>
    </w:p>
    <w:p/>
    <w:p>
      <w:pPr>
        <w:pStyle w:val="2"/>
        <w:bidi w:val="0"/>
      </w:pPr>
      <w:bookmarkStart w:id="19" w:name="_Toc26016"/>
      <w:bookmarkStart w:id="20" w:name="_Toc8724"/>
      <w:r>
        <w:rPr>
          <w:rFonts w:hint="eastAsia"/>
          <w:lang w:val="en-US" w:eastAsia="zh-CN"/>
        </w:rPr>
        <w:t>3</w:t>
      </w:r>
      <w:r>
        <w:rPr>
          <w:rFonts w:hint="eastAsia"/>
        </w:rPr>
        <w:t>办理审核</w:t>
      </w:r>
      <w:bookmarkEnd w:id="19"/>
      <w:bookmarkEnd w:id="20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办理审核用于对院级通过的审核数据进行办理审核。其中包含待审核、已审核数据列表，支持对列表数据进行审核操作。</w:t>
      </w:r>
    </w:p>
    <w:p>
      <w:pPr>
        <w:pStyle w:val="3"/>
        <w:numPr>
          <w:ilvl w:val="1"/>
          <w:numId w:val="0"/>
        </w:numPr>
        <w:bidi w:val="0"/>
        <w:ind w:leftChars="0" w:right="210" w:rightChars="100"/>
      </w:pPr>
      <w:bookmarkStart w:id="21" w:name="_Toc7013"/>
      <w:bookmarkStart w:id="22" w:name="_Toc15257"/>
      <w:r>
        <w:rPr>
          <w:rFonts w:hint="eastAsia"/>
          <w:lang w:val="en-US" w:eastAsia="zh-CN"/>
        </w:rPr>
        <w:t>3.1</w:t>
      </w:r>
      <w:r>
        <w:rPr>
          <w:rFonts w:hint="eastAsia"/>
        </w:rPr>
        <w:t>切换管理范围</w:t>
      </w:r>
      <w:bookmarkEnd w:id="21"/>
      <w:bookmarkEnd w:id="22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点击页面上方的院系名称可以进行管理范围的切换。</w:t>
      </w:r>
    </w:p>
    <w:p>
      <w:pPr>
        <w:ind w:firstLine="420" w:firstLineChars="200"/>
        <w:jc w:val="center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71770" cy="2008505"/>
            <wp:effectExtent l="0" t="0" r="5080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jc w:val="center"/>
        <w:rPr>
          <w:rFonts w:hint="eastAsia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4-</w:t>
      </w:r>
      <w:r>
        <w:rPr>
          <w:rFonts w:hint="eastAsia"/>
          <w:sz w:val="18"/>
          <w:szCs w:val="18"/>
        </w:rPr>
        <w:t>切换管理范围</w:t>
      </w:r>
    </w:p>
    <w:p>
      <w:pPr>
        <w:ind w:firstLine="420"/>
      </w:pPr>
    </w:p>
    <w:p>
      <w:pPr>
        <w:pStyle w:val="3"/>
        <w:numPr>
          <w:ilvl w:val="1"/>
          <w:numId w:val="0"/>
        </w:numPr>
        <w:bidi w:val="0"/>
        <w:ind w:leftChars="0" w:right="210" w:rightChars="100"/>
      </w:pPr>
      <w:bookmarkStart w:id="23" w:name="_Toc8295"/>
      <w:bookmarkStart w:id="24" w:name="_Toc4352"/>
      <w:r>
        <w:rPr>
          <w:rFonts w:hint="eastAsia"/>
          <w:lang w:val="en-US" w:eastAsia="zh-CN"/>
        </w:rPr>
        <w:t>3.2</w:t>
      </w:r>
      <w:r>
        <w:rPr>
          <w:rFonts w:hint="eastAsia"/>
        </w:rPr>
        <w:t>切换角色</w:t>
      </w:r>
      <w:bookmarkEnd w:id="23"/>
      <w:bookmarkEnd w:id="24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担任多个角色的审核人员可以进行审核角色的切换。</w:t>
      </w:r>
    </w:p>
    <w:p>
      <w:pPr>
        <w:ind w:firstLine="420" w:firstLineChars="200"/>
        <w:jc w:val="center"/>
        <w:rPr>
          <w:rFonts w:hint="eastAsia"/>
          <w:sz w:val="18"/>
          <w:szCs w:val="18"/>
        </w:rPr>
      </w:pPr>
      <w:r>
        <w:drawing>
          <wp:inline distT="0" distB="0" distL="0" distR="0">
            <wp:extent cx="3175000" cy="1403350"/>
            <wp:effectExtent l="0" t="0" r="6350" b="6350"/>
            <wp:docPr id="1186" name="图片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图片 1186"/>
                    <pic:cNvPicPr>
                      <a:picLocks noChangeAspect="1"/>
                    </pic:cNvPicPr>
                  </pic:nvPicPr>
                  <pic:blipFill>
                    <a:blip r:embed="rId14"/>
                    <a:srcRect r="3061"/>
                    <a:stretch>
                      <a:fillRect/>
                    </a:stretch>
                  </pic:blipFill>
                  <pic:spPr>
                    <a:xfrm>
                      <a:off x="0" y="0"/>
                      <a:ext cx="3184742" cy="14079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jc w:val="center"/>
        <w:rPr>
          <w:rFonts w:hint="eastAsia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5-</w:t>
      </w:r>
      <w:r>
        <w:rPr>
          <w:rFonts w:hint="eastAsia"/>
          <w:sz w:val="18"/>
          <w:szCs w:val="18"/>
        </w:rPr>
        <w:t>切换角色</w:t>
      </w:r>
    </w:p>
    <w:p/>
    <w:p>
      <w:pPr>
        <w:pStyle w:val="3"/>
        <w:numPr>
          <w:ilvl w:val="1"/>
          <w:numId w:val="0"/>
        </w:numPr>
        <w:bidi w:val="0"/>
        <w:ind w:leftChars="0" w:right="210" w:rightChars="100"/>
      </w:pPr>
      <w:bookmarkStart w:id="25" w:name="_Toc3143"/>
      <w:bookmarkStart w:id="26" w:name="_Toc1771"/>
      <w:r>
        <w:rPr>
          <w:rFonts w:hint="eastAsia"/>
          <w:lang w:val="en-US" w:eastAsia="zh-CN"/>
        </w:rPr>
        <w:t>3.3</w:t>
      </w:r>
      <w:r>
        <w:rPr>
          <w:rFonts w:hint="eastAsia"/>
        </w:rPr>
        <w:t>待审核</w:t>
      </w:r>
      <w:bookmarkEnd w:id="25"/>
      <w:bookmarkEnd w:id="26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点击审核工作卡片进入待审核学生列表页面。</w:t>
      </w:r>
    </w:p>
    <w:p>
      <w:pPr>
        <w:ind w:firstLine="420" w:firstLineChars="200"/>
        <w:jc w:val="center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67325" cy="1797685"/>
            <wp:effectExtent l="0" t="0" r="9525" b="1206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jc w:val="center"/>
        <w:rPr>
          <w:rFonts w:hint="eastAsia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6-</w:t>
      </w:r>
      <w:r>
        <w:rPr>
          <w:rFonts w:hint="eastAsia"/>
          <w:sz w:val="18"/>
          <w:szCs w:val="18"/>
        </w:rPr>
        <w:t>待审核学生列表</w:t>
      </w:r>
    </w:p>
    <w:p>
      <w:pPr>
        <w:pStyle w:val="3"/>
        <w:numPr>
          <w:ilvl w:val="1"/>
          <w:numId w:val="0"/>
        </w:numPr>
        <w:bidi w:val="0"/>
        <w:ind w:leftChars="0" w:right="210" w:rightChars="100"/>
      </w:pPr>
      <w:bookmarkStart w:id="27" w:name="_Toc25518"/>
      <w:bookmarkStart w:id="28" w:name="_Toc22899"/>
      <w:r>
        <w:rPr>
          <w:rFonts w:hint="eastAsia"/>
          <w:lang w:val="en-US" w:eastAsia="zh-CN"/>
        </w:rPr>
        <w:t>3.4</w:t>
      </w:r>
      <w:r>
        <w:rPr>
          <w:rFonts w:hint="eastAsia"/>
        </w:rPr>
        <w:t>审核</w:t>
      </w:r>
      <w:bookmarkEnd w:id="27"/>
      <w:bookmarkEnd w:id="28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点击“审核”按钮，进入审核页面，可查看学生提交的表单信息，</w:t>
      </w:r>
      <w:r>
        <w:rPr>
          <w:rFonts w:hint="eastAsia" w:ascii="微软雅黑" w:hAnsi="微软雅黑" w:eastAsia="微软雅黑" w:cs="微软雅黑"/>
          <w:lang w:val="en-US" w:eastAsia="zh-CN"/>
        </w:rPr>
        <w:t>表单信息</w:t>
      </w:r>
      <w:r>
        <w:rPr>
          <w:rFonts w:hint="eastAsia" w:ascii="微软雅黑" w:hAnsi="微软雅黑" w:eastAsia="微软雅黑" w:cs="微软雅黑"/>
        </w:rPr>
        <w:t>包含以下内容：办理进度、基本信息、本学年所获的资助情况、家庭情况。根据学生填写信息，若学生满足办理条件即可审核通过，如不满足则审核不通过或者回退。</w:t>
      </w:r>
    </w:p>
    <w:p>
      <w:pPr>
        <w:jc w:val="center"/>
      </w:pPr>
      <w:r>
        <w:drawing>
          <wp:inline distT="0" distB="0" distL="114300" distR="114300">
            <wp:extent cx="5269865" cy="2163445"/>
            <wp:effectExtent l="0" t="0" r="6985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7-审核</w:t>
      </w:r>
    </w:p>
    <w:p>
      <w:pPr>
        <w:pStyle w:val="3"/>
        <w:numPr>
          <w:ilvl w:val="1"/>
          <w:numId w:val="0"/>
        </w:numPr>
        <w:bidi w:val="0"/>
        <w:ind w:leftChars="0" w:right="210" w:rightChars="100"/>
      </w:pPr>
      <w:bookmarkStart w:id="29" w:name="_Toc3758"/>
      <w:bookmarkStart w:id="30" w:name="_Toc23445"/>
      <w:r>
        <w:rPr>
          <w:rFonts w:hint="eastAsia"/>
          <w:lang w:val="en-US" w:eastAsia="zh-CN"/>
        </w:rPr>
        <w:t>3.5</w:t>
      </w:r>
      <w:r>
        <w:rPr>
          <w:rFonts w:hint="eastAsia"/>
        </w:rPr>
        <w:t>回退</w:t>
      </w:r>
      <w:bookmarkEnd w:id="29"/>
      <w:bookmarkEnd w:id="30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如学生出现材料不齐全或其他情况，可以办理“回退”,并填写办理意见。</w:t>
      </w:r>
      <w:r>
        <w:rPr>
          <w:rFonts w:hint="eastAsia" w:ascii="微软雅黑" w:hAnsi="微软雅黑" w:eastAsia="微软雅黑" w:cs="微软雅黑"/>
          <w:lang w:val="en-US" w:eastAsia="zh-CN"/>
        </w:rPr>
        <w:t>选择回退方式后，</w:t>
      </w:r>
      <w:r>
        <w:rPr>
          <w:rFonts w:hint="eastAsia" w:ascii="微软雅黑" w:hAnsi="微软雅黑" w:eastAsia="微软雅黑" w:cs="微软雅黑"/>
        </w:rPr>
        <w:t>点击“确定”完成回退。</w:t>
      </w:r>
    </w:p>
    <w:p>
      <w:pPr>
        <w:jc w:val="center"/>
      </w:pPr>
      <w:r>
        <w:drawing>
          <wp:inline distT="0" distB="0" distL="0" distR="0">
            <wp:extent cx="4762500" cy="2908300"/>
            <wp:effectExtent l="0" t="0" r="0" b="6350"/>
            <wp:docPr id="1189" name="图片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图片 11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8-回退</w:t>
      </w:r>
    </w:p>
    <w:p>
      <w:pPr>
        <w:pStyle w:val="3"/>
        <w:numPr>
          <w:ilvl w:val="1"/>
          <w:numId w:val="0"/>
        </w:numPr>
        <w:bidi w:val="0"/>
        <w:ind w:leftChars="0" w:right="210" w:rightChars="100"/>
      </w:pPr>
      <w:bookmarkStart w:id="31" w:name="_Toc4928"/>
      <w:bookmarkStart w:id="32" w:name="_Toc1074"/>
      <w:r>
        <w:rPr>
          <w:rFonts w:hint="eastAsia"/>
          <w:lang w:val="en-US" w:eastAsia="zh-CN"/>
        </w:rPr>
        <w:t>3.6</w:t>
      </w:r>
      <w:r>
        <w:rPr>
          <w:rFonts w:hint="eastAsia"/>
        </w:rPr>
        <w:t>批量审核</w:t>
      </w:r>
      <w:bookmarkEnd w:id="31"/>
      <w:bookmarkEnd w:id="32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点击“批量审核”，选择需要进行批量处理的学生。选择办理结果和意见, 点击确认后即可进行批量办理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264150" cy="4101465"/>
            <wp:effectExtent l="0" t="0" r="12700" b="1333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9-批量审核</w:t>
      </w:r>
    </w:p>
    <w:p/>
    <w:p>
      <w:pPr>
        <w:pStyle w:val="3"/>
        <w:numPr>
          <w:ilvl w:val="1"/>
          <w:numId w:val="0"/>
        </w:numPr>
        <w:bidi w:val="0"/>
        <w:ind w:leftChars="0" w:right="210" w:rightChars="100"/>
      </w:pPr>
      <w:bookmarkStart w:id="33" w:name="_Toc26815"/>
      <w:bookmarkStart w:id="34" w:name="_Toc26948"/>
      <w:r>
        <w:rPr>
          <w:rFonts w:hint="eastAsia"/>
          <w:lang w:val="en-US" w:eastAsia="zh-CN"/>
        </w:rPr>
        <w:t>3.7</w:t>
      </w:r>
      <w:r>
        <w:rPr>
          <w:rFonts w:hint="eastAsia"/>
        </w:rPr>
        <w:t>已审核</w:t>
      </w:r>
      <w:bookmarkEnd w:id="33"/>
      <w:bookmarkEnd w:id="34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点击已审核，即可查看当前节点已审核的学生数据列表，点击“查看”可进入当前角色审核过的学生申请详情页。</w:t>
      </w:r>
    </w:p>
    <w:p>
      <w:pPr>
        <w:ind w:firstLine="420" w:firstLineChars="200"/>
        <w:jc w:val="center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69865" cy="1769110"/>
            <wp:effectExtent l="0" t="0" r="6985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jc w:val="center"/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图1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0-</w:t>
      </w:r>
      <w:r>
        <w:rPr>
          <w:rFonts w:hint="eastAsia"/>
          <w:sz w:val="18"/>
          <w:szCs w:val="18"/>
        </w:rPr>
        <w:t>已审核学生列表</w:t>
      </w:r>
    </w:p>
    <w:p>
      <w:pPr>
        <w:pStyle w:val="2"/>
        <w:bidi w:val="0"/>
      </w:pPr>
      <w:bookmarkStart w:id="35" w:name="_Toc7582"/>
      <w:bookmarkStart w:id="36" w:name="_Toc7871"/>
      <w:r>
        <w:rPr>
          <w:rFonts w:hint="eastAsia"/>
          <w:lang w:val="en-US" w:eastAsia="zh-CN"/>
        </w:rPr>
        <w:t>4</w:t>
      </w:r>
      <w:r>
        <w:rPr>
          <w:rFonts w:hint="eastAsia"/>
        </w:rPr>
        <w:t>进度查询</w:t>
      </w:r>
      <w:bookmarkEnd w:id="35"/>
      <w:bookmarkEnd w:id="36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进度查询的工作卡片上</w:t>
      </w:r>
      <w:r>
        <w:rPr>
          <w:rFonts w:hint="eastAsia" w:ascii="微软雅黑" w:hAnsi="微软雅黑" w:eastAsia="微软雅黑" w:cs="微软雅黑"/>
          <w:lang w:val="en-US" w:eastAsia="zh-CN"/>
        </w:rPr>
        <w:t>标明</w:t>
      </w:r>
      <w:r>
        <w:rPr>
          <w:rFonts w:hint="eastAsia" w:ascii="微软雅黑" w:hAnsi="微软雅黑" w:eastAsia="微软雅黑" w:cs="微软雅黑"/>
        </w:rPr>
        <w:t>了各个工作的办理时间和工作附件，点击卡片可进入详情页面查看具体数据。</w:t>
      </w:r>
    </w:p>
    <w:p>
      <w:pPr>
        <w:ind w:firstLine="420" w:firstLineChars="200"/>
        <w:jc w:val="center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64150" cy="1584325"/>
            <wp:effectExtent l="0" t="0" r="12700" b="158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jc w:val="center"/>
        <w:rPr>
          <w:rFonts w:hint="eastAsia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图1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1-</w:t>
      </w:r>
      <w:r>
        <w:rPr>
          <w:rFonts w:hint="eastAsia"/>
          <w:sz w:val="18"/>
          <w:szCs w:val="18"/>
        </w:rPr>
        <w:t>进度查询工作列表</w:t>
      </w:r>
    </w:p>
    <w:p>
      <w:pPr>
        <w:pStyle w:val="3"/>
        <w:numPr>
          <w:ilvl w:val="1"/>
          <w:numId w:val="0"/>
        </w:numPr>
        <w:bidi w:val="0"/>
        <w:ind w:leftChars="0" w:right="210" w:rightChars="100"/>
      </w:pPr>
      <w:bookmarkStart w:id="37" w:name="_Toc28589"/>
      <w:bookmarkStart w:id="38" w:name="_Toc7777"/>
      <w:r>
        <w:rPr>
          <w:rFonts w:hint="eastAsia"/>
          <w:lang w:val="en-US" w:eastAsia="zh-CN"/>
        </w:rPr>
        <w:t>4.1</w:t>
      </w:r>
      <w:r>
        <w:rPr>
          <w:rFonts w:hint="eastAsia"/>
        </w:rPr>
        <w:t>查看进度</w:t>
      </w:r>
      <w:bookmarkEnd w:id="37"/>
      <w:bookmarkEnd w:id="38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点击工作卡片，可查看当前工作的学生数据，包括当前节点的审核进度。</w:t>
      </w:r>
    </w:p>
    <w:p>
      <w:pPr>
        <w:ind w:firstLine="420" w:firstLineChars="200"/>
        <w:jc w:val="center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69865" cy="1515745"/>
            <wp:effectExtent l="0" t="0" r="6985" b="825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jc w:val="center"/>
        <w:rPr>
          <w:rFonts w:hint="eastAsia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12-</w:t>
      </w:r>
      <w:r>
        <w:rPr>
          <w:rFonts w:hint="eastAsia"/>
          <w:sz w:val="18"/>
          <w:szCs w:val="18"/>
        </w:rPr>
        <w:t>查看进度列表</w:t>
      </w:r>
    </w:p>
    <w:p>
      <w:pPr>
        <w:pStyle w:val="3"/>
        <w:numPr>
          <w:ilvl w:val="1"/>
          <w:numId w:val="0"/>
        </w:numPr>
        <w:bidi w:val="0"/>
        <w:ind w:leftChars="0" w:right="210" w:rightChars="100"/>
      </w:pPr>
      <w:bookmarkStart w:id="39" w:name="_Toc8434"/>
      <w:bookmarkStart w:id="40" w:name="_Toc10533"/>
      <w:r>
        <w:rPr>
          <w:rFonts w:hint="eastAsia"/>
          <w:lang w:val="en-US" w:eastAsia="zh-CN"/>
        </w:rPr>
        <w:t>4.2</w:t>
      </w:r>
      <w:r>
        <w:rPr>
          <w:rFonts w:hint="eastAsia"/>
        </w:rPr>
        <w:t>导出汇总表</w:t>
      </w:r>
      <w:bookmarkEnd w:id="39"/>
      <w:bookmarkEnd w:id="40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点击“导出汇总表”，即可导出该页面列表数据。</w:t>
      </w:r>
    </w:p>
    <w:p>
      <w:pPr>
        <w:jc w:val="center"/>
      </w:pPr>
      <w:r>
        <w:drawing>
          <wp:inline distT="0" distB="0" distL="0" distR="0">
            <wp:extent cx="3530600" cy="1814830"/>
            <wp:effectExtent l="0" t="0" r="12700" b="13970"/>
            <wp:docPr id="1194" name="图片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图片 119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6452" cy="181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13-导出汇总表</w:t>
      </w:r>
    </w:p>
    <w:p>
      <w:pPr>
        <w:pStyle w:val="3"/>
        <w:numPr>
          <w:ilvl w:val="1"/>
          <w:numId w:val="0"/>
        </w:numPr>
        <w:bidi w:val="0"/>
        <w:ind w:leftChars="0" w:right="210" w:rightChars="100"/>
      </w:pPr>
      <w:bookmarkStart w:id="41" w:name="_Toc24609"/>
      <w:bookmarkStart w:id="42" w:name="_Toc30822"/>
      <w:r>
        <w:rPr>
          <w:rFonts w:hint="eastAsia"/>
          <w:lang w:val="en-US" w:eastAsia="zh-CN"/>
        </w:rPr>
        <w:t>4.3</w:t>
      </w:r>
      <w:r>
        <w:rPr>
          <w:rFonts w:hint="eastAsia"/>
        </w:rPr>
        <w:t>统计查询</w:t>
      </w:r>
      <w:bookmarkEnd w:id="41"/>
      <w:bookmarkEnd w:id="42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统计查询</w:t>
      </w:r>
      <w:r>
        <w:rPr>
          <w:rFonts w:hint="eastAsia" w:ascii="微软雅黑" w:hAnsi="微软雅黑" w:eastAsia="微软雅黑" w:cs="微软雅黑"/>
          <w:lang w:val="en-US" w:eastAsia="zh-CN"/>
        </w:rPr>
        <w:t>标明</w:t>
      </w:r>
      <w:r>
        <w:rPr>
          <w:rFonts w:hint="eastAsia" w:ascii="微软雅黑" w:hAnsi="微软雅黑" w:eastAsia="微软雅黑" w:cs="微软雅黑"/>
        </w:rPr>
        <w:t>了</w:t>
      </w:r>
      <w:r>
        <w:rPr>
          <w:rFonts w:hint="eastAsia" w:ascii="微软雅黑" w:hAnsi="微软雅黑" w:eastAsia="微软雅黑" w:cs="微软雅黑"/>
          <w:lang w:eastAsia="zh-CN"/>
        </w:rPr>
        <w:t>减免</w:t>
      </w:r>
      <w:r>
        <w:rPr>
          <w:rFonts w:hint="eastAsia" w:ascii="微软雅黑" w:hAnsi="微软雅黑" w:eastAsia="微软雅黑" w:cs="微软雅黑"/>
          <w:lang w:val="en-US" w:eastAsia="zh-CN"/>
        </w:rPr>
        <w:t>学费</w:t>
      </w:r>
      <w:r>
        <w:rPr>
          <w:rFonts w:hint="eastAsia" w:ascii="微软雅黑" w:hAnsi="微软雅黑" w:eastAsia="微软雅黑" w:cs="微软雅黑"/>
        </w:rPr>
        <w:t>工作的办理时间、工作附件信息，对参与工作的学生</w:t>
      </w:r>
      <w:r>
        <w:rPr>
          <w:rFonts w:hint="eastAsia" w:ascii="微软雅黑" w:hAnsi="微软雅黑" w:eastAsia="微软雅黑" w:cs="微软雅黑"/>
          <w:lang w:eastAsia="zh-CN"/>
        </w:rPr>
        <w:t>减免学费</w:t>
      </w:r>
      <w:r>
        <w:rPr>
          <w:rFonts w:hint="eastAsia" w:ascii="微软雅黑" w:hAnsi="微软雅黑" w:eastAsia="微软雅黑" w:cs="微软雅黑"/>
        </w:rPr>
        <w:t>情况进行统计。</w:t>
      </w:r>
    </w:p>
    <w:p>
      <w:pPr>
        <w:ind w:firstLine="420" w:firstLineChars="200"/>
        <w:jc w:val="center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69865" cy="2151380"/>
            <wp:effectExtent l="0" t="0" r="6985" b="12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jc w:val="center"/>
        <w:rPr>
          <w:rFonts w:hint="eastAsia"/>
          <w:sz w:val="18"/>
          <w:szCs w:val="18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14-</w:t>
      </w:r>
      <w:r>
        <w:rPr>
          <w:rFonts w:hint="eastAsia"/>
          <w:sz w:val="18"/>
          <w:szCs w:val="18"/>
        </w:rPr>
        <w:t>统计查询工作列表</w:t>
      </w:r>
    </w:p>
    <w:p>
      <w:pPr>
        <w:pStyle w:val="3"/>
        <w:numPr>
          <w:ilvl w:val="1"/>
          <w:numId w:val="0"/>
        </w:numPr>
        <w:bidi w:val="0"/>
        <w:ind w:leftChars="0" w:right="210" w:rightChars="100"/>
      </w:pPr>
      <w:bookmarkStart w:id="43" w:name="_Toc31233"/>
      <w:bookmarkStart w:id="44" w:name="_Toc27121"/>
      <w:r>
        <w:rPr>
          <w:rFonts w:hint="eastAsia"/>
          <w:lang w:val="en-US" w:eastAsia="zh-CN"/>
        </w:rPr>
        <w:t>4.4</w:t>
      </w:r>
      <w:r>
        <w:rPr>
          <w:rFonts w:hint="eastAsia"/>
        </w:rPr>
        <w:t>统计详情</w:t>
      </w:r>
      <w:bookmarkEnd w:id="43"/>
      <w:bookmarkEnd w:id="44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点击工作卡片查看学生名单统计列表，其中包含</w:t>
      </w:r>
      <w:r>
        <w:rPr>
          <w:rFonts w:hint="eastAsia" w:ascii="微软雅黑" w:hAnsi="微软雅黑" w:eastAsia="微软雅黑" w:cs="微软雅黑"/>
          <w:lang w:eastAsia="zh-CN"/>
        </w:rPr>
        <w:t>减免学费</w:t>
      </w:r>
      <w:r>
        <w:rPr>
          <w:rFonts w:hint="eastAsia" w:ascii="微软雅黑" w:hAnsi="微软雅黑" w:eastAsia="微软雅黑" w:cs="微软雅黑"/>
        </w:rPr>
        <w:t>金额。</w:t>
      </w:r>
    </w:p>
    <w:p>
      <w:pPr>
        <w:ind w:left="284"/>
        <w:jc w:val="center"/>
      </w:pPr>
      <w:r>
        <w:drawing>
          <wp:inline distT="0" distB="0" distL="114300" distR="114300">
            <wp:extent cx="5269865" cy="1561465"/>
            <wp:effectExtent l="0" t="0" r="6985" b="63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15</w:t>
      </w: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-统计详情列表</w:t>
      </w:r>
    </w:p>
    <w:p>
      <w:pPr>
        <w:pStyle w:val="3"/>
        <w:numPr>
          <w:ilvl w:val="1"/>
          <w:numId w:val="0"/>
        </w:numPr>
        <w:bidi w:val="0"/>
        <w:ind w:leftChars="0" w:right="210" w:rightChars="100"/>
      </w:pPr>
      <w:bookmarkStart w:id="45" w:name="_Toc25045"/>
      <w:bookmarkStart w:id="46" w:name="_Toc16521"/>
      <w:r>
        <w:rPr>
          <w:rFonts w:hint="eastAsia"/>
          <w:lang w:val="en-US" w:eastAsia="zh-CN"/>
        </w:rPr>
        <w:t>4.5</w:t>
      </w:r>
      <w:r>
        <w:rPr>
          <w:rFonts w:hint="eastAsia"/>
        </w:rPr>
        <w:t>切换管理范围</w:t>
      </w:r>
      <w:bookmarkEnd w:id="45"/>
      <w:bookmarkEnd w:id="46"/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点击页面上方的院系名称可以进行管理范围的切换。</w:t>
      </w:r>
    </w:p>
    <w:p>
      <w:pPr>
        <w:jc w:val="center"/>
      </w:pPr>
      <w:r>
        <w:drawing>
          <wp:inline distT="0" distB="0" distL="114300" distR="114300">
            <wp:extent cx="5269230" cy="2682875"/>
            <wp:effectExtent l="0" t="0" r="7620" b="317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Times New Roman" w:hAnsi="Times New Roman" w:eastAsia="宋体" w:cs="Times New Roman"/>
          <w:kern w:val="2"/>
          <w:sz w:val="18"/>
          <w:szCs w:val="18"/>
          <w:lang w:val="en-US" w:eastAsia="zh-CN" w:bidi="ar-SA"/>
        </w:rPr>
        <w:t>图</w:t>
      </w:r>
      <w:r>
        <w:rPr>
          <w:rFonts w:hint="eastAsia" w:cs="Times New Roman"/>
          <w:kern w:val="2"/>
          <w:sz w:val="18"/>
          <w:szCs w:val="18"/>
          <w:lang w:val="en-US" w:eastAsia="zh-CN" w:bidi="ar-SA"/>
        </w:rPr>
        <w:t>16-切换管理范围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63BD76"/>
    <w:multiLevelType w:val="multilevel"/>
    <w:tmpl w:val="C763BD76"/>
    <w:lvl w:ilvl="0" w:tentative="0">
      <w:start w:val="1"/>
      <w:numFmt w:val="decimal"/>
      <w:isLgl/>
      <w:lvlText w:val="%1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lvlText w:val="%1.%2"/>
      <w:lvlJc w:val="left"/>
      <w:pPr>
        <w:ind w:left="283" w:hanging="283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lvlText w:val="%1.%2.%3"/>
      <w:lvlJc w:val="left"/>
      <w:pPr>
        <w:ind w:left="170" w:hanging="170"/>
      </w:pPr>
      <w:rPr>
        <w:rFonts w:hint="default" w:ascii="宋体" w:hAnsi="宋体" w:eastAsia="宋体" w:cs="宋体"/>
        <w:b/>
        <w:sz w:val="28"/>
        <w:szCs w:val="28"/>
      </w:rPr>
    </w:lvl>
    <w:lvl w:ilvl="3" w:tentative="0">
      <w:start w:val="1"/>
      <w:numFmt w:val="decimal"/>
      <w:pStyle w:val="5"/>
      <w:lvlText w:val="%1.%2.%3.%4"/>
      <w:lvlJc w:val="left"/>
      <w:pPr>
        <w:ind w:left="227" w:hanging="227"/>
      </w:pPr>
      <w:rPr>
        <w:rFonts w:hint="default" w:ascii="宋体" w:hAnsi="宋体" w:eastAsia="宋体" w:cs="宋体"/>
        <w:b/>
        <w:sz w:val="28"/>
        <w:szCs w:val="28"/>
      </w:rPr>
    </w:lvl>
    <w:lvl w:ilvl="4" w:tentative="0">
      <w:start w:val="1"/>
      <w:numFmt w:val="decimal"/>
      <w:pStyle w:val="6"/>
      <w:isLgl/>
      <w:lvlText w:val="%1.%2.%3.%4.%5"/>
      <w:lvlJc w:val="left"/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pStyle w:val="7"/>
      <w:lvlText w:val="%1.%2.%3.%4.%5.%6"/>
      <w:lvlJc w:val="left"/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bullet"/>
      <w:lvlText w:val=""/>
      <w:lvlJc w:val="left"/>
      <w:pPr>
        <w:ind w:left="3827" w:hanging="1276"/>
      </w:pPr>
      <w:rPr>
        <w:rFonts w:hint="default" w:ascii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 w:tentative="0">
      <w:start w:val="1"/>
      <w:numFmt w:val="decimal"/>
      <w:lvlText w:val="%1.%2.%3.%4.%5..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.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0MTZlMWUwNjQ2NWFhNjNkZDRmZmVmZTI0Zjc4MzQifQ=="/>
  </w:docVars>
  <w:rsids>
    <w:rsidRoot w:val="423A558E"/>
    <w:rsid w:val="08056404"/>
    <w:rsid w:val="09D206E2"/>
    <w:rsid w:val="1353124D"/>
    <w:rsid w:val="32EE4E29"/>
    <w:rsid w:val="3D202D06"/>
    <w:rsid w:val="423A558E"/>
    <w:rsid w:val="54CE1A79"/>
    <w:rsid w:val="57EE0F41"/>
    <w:rsid w:val="5F697A43"/>
    <w:rsid w:val="66CB3CB1"/>
    <w:rsid w:val="6B8B559D"/>
    <w:rsid w:val="6BE76E1E"/>
    <w:rsid w:val="6E4D0E12"/>
    <w:rsid w:val="75147149"/>
    <w:rsid w:val="75526D21"/>
    <w:rsid w:val="7A6B5994"/>
    <w:rsid w:val="7CAB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9"/>
    <w:pPr>
      <w:keepNext/>
      <w:numPr>
        <w:ilvl w:val="1"/>
        <w:numId w:val="1"/>
      </w:numPr>
      <w:tabs>
        <w:tab w:val="left" w:pos="567"/>
      </w:tabs>
      <w:spacing w:before="10" w:after="10"/>
      <w:ind w:right="210" w:rightChars="100"/>
      <w:outlineLvl w:val="1"/>
    </w:pPr>
    <w:rPr>
      <w:b/>
      <w:bCs/>
      <w:kern w:val="0"/>
      <w:sz w:val="32"/>
    </w:rPr>
  </w:style>
  <w:style w:type="paragraph" w:styleId="4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spacing w:before="10" w:after="10" w:line="240" w:lineRule="auto"/>
      <w:jc w:val="left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10" w:after="10" w:line="240" w:lineRule="auto"/>
      <w:ind w:right="210" w:rightChars="100"/>
      <w:outlineLvl w:val="3"/>
    </w:pPr>
    <w:rPr>
      <w:rFonts w:ascii="Cambria" w:hAnsi="Cambria"/>
      <w:b/>
      <w:bCs/>
      <w:kern w:val="0"/>
      <w:sz w:val="28"/>
      <w:szCs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spacing w:before="10" w:after="10" w:line="240" w:lineRule="auto"/>
      <w:ind w:right="210" w:rightChars="100"/>
      <w:jc w:val="left"/>
      <w:outlineLvl w:val="4"/>
    </w:pPr>
    <w:rPr>
      <w:b/>
      <w:bCs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10" w:after="10" w:line="240" w:lineRule="auto"/>
      <w:outlineLvl w:val="5"/>
    </w:pPr>
    <w:rPr>
      <w:rFonts w:ascii="Cambria" w:hAnsi="Cambria"/>
      <w:b/>
      <w:bCs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l标题4"/>
    <w:basedOn w:val="5"/>
    <w:next w:val="1"/>
    <w:qFormat/>
    <w:uiPriority w:val="0"/>
    <w:pPr>
      <w:spacing w:before="10" w:after="10"/>
    </w:pPr>
  </w:style>
  <w:style w:type="paragraph" w:customStyle="1" w:styleId="13">
    <w:name w:val="l标题5"/>
    <w:basedOn w:val="6"/>
    <w:next w:val="1"/>
    <w:qFormat/>
    <w:uiPriority w:val="0"/>
  </w:style>
  <w:style w:type="paragraph" w:customStyle="1" w:styleId="1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标准五号 Char"/>
    <w:basedOn w:val="1"/>
    <w:qFormat/>
    <w:uiPriority w:val="0"/>
    <w:pPr>
      <w:ind w:firstLine="420" w:firstLineChars="200"/>
    </w:pPr>
    <w:rPr>
      <w:rFonts w:asciiTheme="minorEastAsia" w:hAnsiTheme="minorEastAsia" w:eastAsiaTheme="minorEastAsia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tiff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tiff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tiff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1388</Words>
  <Characters>1542</Characters>
  <Lines>0</Lines>
  <Paragraphs>0</Paragraphs>
  <TotalTime>1</TotalTime>
  <ScaleCrop>false</ScaleCrop>
  <LinksUpToDate>false</LinksUpToDate>
  <CharactersWithSpaces>1602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2022-08-08T07:26:00Z</dcterms:created>
  <dc:creator>大白兔和小黄人</dc:creator>
  <cp:lastModifiedBy>Administrator</cp:lastModifiedBy>
  <dcterms:modified xsi:type="dcterms:W3CDTF">2022-10-17T10:05:55Z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52A49B4A3B1E4149BB77754D2B1F5E2F</vt:lpwstr>
  </property>
</Properties>
</file>