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60B5" w14:textId="77777777" w:rsidR="00914212" w:rsidRPr="00026379" w:rsidRDefault="00914212" w:rsidP="00914212">
      <w:pPr>
        <w:widowControl/>
        <w:jc w:val="center"/>
        <w:rPr>
          <w:rFonts w:ascii="仿宋_GB2312" w:eastAsia="仿宋_GB2312" w:hAnsiTheme="majorBidi" w:cstheme="majorBidi"/>
          <w:snapToGrid w:val="0"/>
          <w:color w:val="000000"/>
          <w:kern w:val="0"/>
          <w:sz w:val="44"/>
          <w:szCs w:val="44"/>
        </w:rPr>
      </w:pPr>
    </w:p>
    <w:p w14:paraId="612AF23E" w14:textId="77777777" w:rsidR="00914212" w:rsidRPr="00026379" w:rsidRDefault="00914212" w:rsidP="00914212">
      <w:pPr>
        <w:widowControl/>
        <w:jc w:val="center"/>
        <w:rPr>
          <w:rFonts w:ascii="仿宋_GB2312" w:eastAsia="仿宋_GB2312" w:hAnsiTheme="majorBidi" w:cstheme="majorBidi"/>
          <w:snapToGrid w:val="0"/>
          <w:color w:val="000000"/>
          <w:kern w:val="0"/>
          <w:sz w:val="44"/>
          <w:szCs w:val="44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44"/>
          <w:szCs w:val="44"/>
        </w:rPr>
        <w:t>知情书</w:t>
      </w:r>
    </w:p>
    <w:p w14:paraId="479C2358" w14:textId="77777777" w:rsidR="00914212" w:rsidRPr="00026379" w:rsidRDefault="00914212" w:rsidP="00914212">
      <w:pPr>
        <w:widowControl/>
        <w:jc w:val="center"/>
        <w:rPr>
          <w:rFonts w:ascii="仿宋_GB2312" w:eastAsia="仿宋_GB2312" w:hAnsiTheme="majorBidi" w:cstheme="majorBidi"/>
          <w:snapToGrid w:val="0"/>
          <w:color w:val="000000"/>
          <w:kern w:val="0"/>
          <w:sz w:val="44"/>
          <w:szCs w:val="44"/>
        </w:rPr>
      </w:pPr>
    </w:p>
    <w:p w14:paraId="4C04B33F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56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8"/>
          <w:szCs w:val="28"/>
        </w:rPr>
      </w:pPr>
      <w:bookmarkStart w:id="0" w:name="OLE_LINK3"/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8"/>
          <w:szCs w:val="28"/>
        </w:rPr>
        <w:t>《中山大学国有资产损失责任追究管理办法》（中大设备〔2021〕9号）第四章第十四条规定，学校有关人员违反规定，未履行或未正确履行职责，在学校资产配置、使用、处置等管理过程中造成国有资产损失的，原则上均须追究其相关责任，但对于在使用中存在高风险的资产，已及时购买相应的财产保险， 资产损失事项可获得保险公司足额赔偿的除外。</w:t>
      </w:r>
    </w:p>
    <w:bookmarkEnd w:id="0"/>
    <w:p w14:paraId="6B5D4E47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56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8"/>
          <w:szCs w:val="28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8"/>
          <w:szCs w:val="28"/>
        </w:rPr>
        <w:t>本人确认已知悉以上管理规定，并确认本次带出校外使用的设备不购买保险。</w:t>
      </w:r>
    </w:p>
    <w:p w14:paraId="7590E430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8"/>
          <w:szCs w:val="28"/>
        </w:rPr>
      </w:pPr>
    </w:p>
    <w:p w14:paraId="528F02F1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56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8"/>
          <w:szCs w:val="28"/>
        </w:rPr>
      </w:pPr>
    </w:p>
    <w:p w14:paraId="5370BAFB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56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8"/>
          <w:szCs w:val="28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8"/>
          <w:szCs w:val="28"/>
        </w:rPr>
        <w:t xml:space="preserve"> </w:t>
      </w:r>
      <w:r w:rsidRPr="00026379">
        <w:rPr>
          <w:rFonts w:ascii="仿宋_GB2312" w:eastAsia="仿宋_GB2312" w:hAnsiTheme="majorBidi" w:cstheme="majorBidi"/>
          <w:snapToGrid w:val="0"/>
          <w:color w:val="000000"/>
          <w:kern w:val="0"/>
          <w:sz w:val="28"/>
          <w:szCs w:val="28"/>
        </w:rPr>
        <w:t xml:space="preserve">                                 </w:t>
      </w: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8"/>
          <w:szCs w:val="28"/>
        </w:rPr>
        <w:t>签名：</w:t>
      </w:r>
    </w:p>
    <w:p w14:paraId="26C20A73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56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8"/>
          <w:szCs w:val="28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8"/>
          <w:szCs w:val="28"/>
        </w:rPr>
        <w:t xml:space="preserve"> </w:t>
      </w:r>
      <w:r w:rsidRPr="00026379">
        <w:rPr>
          <w:rFonts w:ascii="仿宋_GB2312" w:eastAsia="仿宋_GB2312" w:hAnsiTheme="majorBidi" w:cstheme="majorBidi"/>
          <w:snapToGrid w:val="0"/>
          <w:color w:val="000000"/>
          <w:kern w:val="0"/>
          <w:sz w:val="28"/>
          <w:szCs w:val="28"/>
        </w:rPr>
        <w:t xml:space="preserve">                                 </w:t>
      </w: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8"/>
          <w:szCs w:val="28"/>
        </w:rPr>
        <w:t>日期</w:t>
      </w:r>
      <w:bookmarkStart w:id="1" w:name="OLE_LINK2"/>
      <w:bookmarkEnd w:id="1"/>
    </w:p>
    <w:p w14:paraId="7D179A64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8"/>
          <w:szCs w:val="28"/>
        </w:rPr>
      </w:pPr>
    </w:p>
    <w:p w14:paraId="0D8AEC83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4"/>
          <w:szCs w:val="24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备注：</w:t>
      </w:r>
    </w:p>
    <w:p w14:paraId="25A00C92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4"/>
          <w:szCs w:val="24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根据《中山大学国有资产损失责任追究管理办法》（中大设备〔2021〕9号）第五章第十七条规定，设备、家具等固定资产损失的经济赔偿金额按以下方式计算确定：</w:t>
      </w:r>
    </w:p>
    <w:p w14:paraId="080F129C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4"/>
          <w:szCs w:val="24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1．使用时间未达到最低使用年限的，按下列公式折算损失价：</w:t>
      </w:r>
    </w:p>
    <w:p w14:paraId="4549AEC8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4"/>
          <w:szCs w:val="24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损失价＝账面原值×（最低使用年限－已使用年限）／最低使用年限</w:t>
      </w:r>
    </w:p>
    <w:p w14:paraId="36C30CC4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4"/>
          <w:szCs w:val="24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已使用年限： 资产登记入账时开始计算，</w:t>
      </w:r>
      <w:proofErr w:type="gramStart"/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至资产</w:t>
      </w:r>
      <w:proofErr w:type="gramEnd"/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 xml:space="preserve">损失发生时为止，两个时间都折算成月份数后计算差额，每满 12 </w:t>
      </w:r>
      <w:proofErr w:type="gramStart"/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个</w:t>
      </w:r>
      <w:proofErr w:type="gramEnd"/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 xml:space="preserve">月计一年，不足 12 </w:t>
      </w:r>
      <w:proofErr w:type="gramStart"/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个</w:t>
      </w:r>
      <w:proofErr w:type="gramEnd"/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月不计一年。</w:t>
      </w:r>
    </w:p>
    <w:p w14:paraId="73CD9A6F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4"/>
          <w:szCs w:val="24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2．使用时间达到最低使用年限的，或没有规定最低使用年限的资产，按下列方式折算损失价：</w:t>
      </w:r>
    </w:p>
    <w:p w14:paraId="31AA8F5C" w14:textId="77777777" w:rsidR="00914212" w:rsidRPr="00026379" w:rsidRDefault="00914212" w:rsidP="00914212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4"/>
          <w:szCs w:val="24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（1）资产账面原值低于 10 万元的，按资产原值的5%折算损失价；</w:t>
      </w:r>
    </w:p>
    <w:p w14:paraId="774A79C9" w14:textId="77777777" w:rsidR="00914212" w:rsidRPr="00892C0D" w:rsidRDefault="00914212" w:rsidP="00914212">
      <w:pPr>
        <w:widowControl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Theme="majorBidi" w:cstheme="majorBidi"/>
          <w:snapToGrid w:val="0"/>
          <w:color w:val="000000"/>
          <w:kern w:val="0"/>
          <w:sz w:val="28"/>
          <w:szCs w:val="28"/>
        </w:rPr>
      </w:pPr>
      <w:r w:rsidRPr="00026379">
        <w:rPr>
          <w:rFonts w:ascii="仿宋_GB2312" w:eastAsia="仿宋_GB2312" w:hAnsiTheme="majorBidi" w:cstheme="majorBidi" w:hint="eastAsia"/>
          <w:snapToGrid w:val="0"/>
          <w:color w:val="000000"/>
          <w:kern w:val="0"/>
          <w:sz w:val="24"/>
          <w:szCs w:val="24"/>
        </w:rPr>
        <w:t>（2）资产账面原值在 10 万元及以上的，按照资产原值的1%折算损失价，最低不少于 5000 元。</w:t>
      </w:r>
    </w:p>
    <w:p w14:paraId="73325523" w14:textId="77777777" w:rsidR="007C49B1" w:rsidRPr="00914212" w:rsidRDefault="007C49B1"/>
    <w:sectPr w:rsidR="007C49B1" w:rsidRPr="00914212" w:rsidSect="00F22D8B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8B49" w14:textId="77777777" w:rsidR="001E1167" w:rsidRDefault="001E1167" w:rsidP="00914212">
      <w:r>
        <w:separator/>
      </w:r>
    </w:p>
  </w:endnote>
  <w:endnote w:type="continuationSeparator" w:id="0">
    <w:p w14:paraId="77E4465F" w14:textId="77777777" w:rsidR="001E1167" w:rsidRDefault="001E1167" w:rsidP="0091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0B27" w14:textId="77777777" w:rsidR="009737B1" w:rsidRDefault="001E1167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  <w:sz w:val="28"/>
      </w:rPr>
      <w:t>－</w:t>
    </w:r>
    <w:r>
      <w:rPr>
        <w:rStyle w:val="a7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14:paraId="4ACBD02D" w14:textId="77777777" w:rsidR="009737B1" w:rsidRDefault="001E11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F3D5" w14:textId="77777777" w:rsidR="009737B1" w:rsidRDefault="001E1167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  <w:sz w:val="28"/>
      </w:rPr>
      <w:t>－</w:t>
    </w:r>
    <w:r>
      <w:rPr>
        <w:rStyle w:val="a7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14:paraId="355FFEE2" w14:textId="77777777" w:rsidR="009737B1" w:rsidRDefault="001E1167">
    <w:pPr>
      <w:pStyle w:val="a5"/>
    </w:pPr>
  </w:p>
  <w:p w14:paraId="3EC1E909" w14:textId="77777777" w:rsidR="009737B1" w:rsidRDefault="001E1167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749A" w14:textId="77777777" w:rsidR="009737B1" w:rsidRDefault="001E1167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  <w:sz w:val="28"/>
      </w:rPr>
      <w:t>－</w:t>
    </w:r>
    <w:r>
      <w:rPr>
        <w:rStyle w:val="a7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14:paraId="1FD310BD" w14:textId="77777777" w:rsidR="009737B1" w:rsidRDefault="001E11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4925" w14:textId="77777777" w:rsidR="001E1167" w:rsidRDefault="001E1167" w:rsidP="00914212">
      <w:r>
        <w:separator/>
      </w:r>
    </w:p>
  </w:footnote>
  <w:footnote w:type="continuationSeparator" w:id="0">
    <w:p w14:paraId="2D992182" w14:textId="77777777" w:rsidR="001E1167" w:rsidRDefault="001E1167" w:rsidP="0091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83"/>
    <w:rsid w:val="001E1167"/>
    <w:rsid w:val="007C49B1"/>
    <w:rsid w:val="00914212"/>
    <w:rsid w:val="00F8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A4035"/>
  <w15:chartTrackingRefBased/>
  <w15:docId w15:val="{0C264D96-634A-4F6A-B9E7-6D4A755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421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914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14212"/>
    <w:rPr>
      <w:sz w:val="18"/>
      <w:szCs w:val="18"/>
    </w:rPr>
  </w:style>
  <w:style w:type="character" w:styleId="a7">
    <w:name w:val="page number"/>
    <w:basedOn w:val="a0"/>
    <w:qFormat/>
    <w:rsid w:val="0091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Jun</dc:creator>
  <cp:keywords/>
  <dc:description/>
  <cp:lastModifiedBy>Li Jun</cp:lastModifiedBy>
  <cp:revision>2</cp:revision>
  <dcterms:created xsi:type="dcterms:W3CDTF">2025-04-21T08:55:00Z</dcterms:created>
  <dcterms:modified xsi:type="dcterms:W3CDTF">2025-04-21T08:56:00Z</dcterms:modified>
</cp:coreProperties>
</file>